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F-540/2023 vom 11. November 2021</w:t>
      </w:r>
    </w:p>
    <w:p>
      <w:r>
        <w:t>Bundesverwaltungsgericht, 2021-11-11, FR</w:t>
      </w:r>
    </w:p>
    <w:p>
      <w:r>
        <w:rPr>
          <w:b/>
        </w:rPr>
        <w:t xml:space="preserve">Quelle: </w:t>
      </w:r>
      <w:r>
        <w:t>https://mcp.opencaselaw.ch/entscheid/bvger_F-540_2023</w:t>
      </w:r>
    </w:p>
    <w:p>
      <w:r>
        <w:t>FR: TAF F-540/2023 du 11 novembre 2021</w:t>
      </w:r>
    </w:p>
    <w:p>
      <w:r>
        <w:t>IT: TAF F-540/2023 del 11 novembre 2021</w:t>
      </w:r>
    </w:p>
    <w:p>
      <w:pPr>
        <w:pStyle w:val="Heading2"/>
      </w:pPr>
      <w:r>
        <w:t>Regeste</w:t>
      </w:r>
    </w:p>
    <w:p>
      <w:r>
        <w:t>Déni de justice/retard injustifié</w:t>
      </w:r>
    </w:p>
    <w:p>
      <w:pPr>
        <w:pStyle w:val="Heading2"/>
      </w:pPr>
      <w:r>
        <w:t>Erwägungen</w:t>
      </w:r>
    </w:p>
    <w:p>
      <w:r>
        <w:rPr>
          <w:b/>
        </w:rPr>
        <w:t>E. 1</w:t>
      </w:r>
    </w:p>
    <w:p>
      <w:r>
        <w:t>L'affaire est radiée du rôle.</w:t>
      </w:r>
    </w:p>
    <w:p>
      <w:r>
        <w:rPr>
          <w:b/>
        </w:rPr>
        <w:t>E. 2</w:t>
      </w:r>
    </w:p>
    <w:p>
      <w:r>
        <w:t>Il n'est pas perçu de frais de procédure, ni alloué de dépens.</w:t>
      </w:r>
    </w:p>
    <w:p>
      <w:r>
        <w:rPr>
          <w:b/>
        </w:rPr>
        <w:t>E. 3</w:t>
      </w:r>
    </w:p>
    <w:p>
      <w:r>
        <w:t>La présente décision est adressée aux recourants, à l'autorité inférieure et à l'autorité cantonale concernée. L'indication des voies de droit se trouve à la page suivante. Le juge unique : La greffière : Gregor Chatton Noémie Gonseth Expédition : Indication des voies de droit : Pour autant que les conditions au sens des art. 82 ss, 90 ss et 100 ss LTF soient remplies, le présent arrêt peut être attaqué devant le Tribunal fédéral, 1000 Lausanne 14, par la voie du recours en matière de droit public, dans les trente jours qui suivent la notification.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L'arrêt attaqué et les moyens de preuve doivent être joints au mémoire, pour autant qu'ils soient en mains de la partie recourante (art. 42 LTF).</w:t>
      </w:r>
    </w:p>
    <w:p>
      <w:r>
        <w:rPr>
          <w:b/>
        </w:rPr>
        <w:t>E. 23</w:t>
      </w:r>
    </w:p>
    <w:p>
      <w:r>
        <w:t>juin 2017), que, dans le même sens, le Tribunal avait admis un retard injustifié dans le traitement d'une demande d'asile dans un cas où vingt-et-un mois s'étaient</w:t>
      </w:r>
    </w:p>
    <w:p>
      <w:r>
        <w:t>F-540/2023 Page 7 écoulés entre les deux auditions et avaient été suivis par une période sup- plémentaire de cinq mois durant laquelle le SEM était resté inactif (cf. arrêt du TAF D-2021/2014 du 14 mai 2014 consid. 3.3.1), qu’en l’occurrence, le SEM a été saisi du dossier des recourants en no- vembre 2021, lorsque l’OCPM le lui a transmis pour approbation, que, le 1er avril 2022, le SEM a communiqué aux intéressés son intention de rejeter leur demande et leur a accordé le droit d’être entendus, que, suite aux déterminations des recourants du 29 avril 2022, le SEM n’a plus procédé à des mesures d’instruction complémentaires, qu’il a par contre réceptionné différents courriers complémentaires des in- téressés, qu’il s’est ainsi, prima facie, écoulé environ dix mois entre le droit d’être entendu accordé aux intéressés (le 1er avril 2022) et le dépôt du recours en déni de justice (le 30 janvier 2023), que, bien qu’il faille reconnaître aux intéressés un intérêt certain à obtenir une décision sur leur demande de regroupement familial dans les meilleurs délais possibles, on ne saurait, prima vista, retenir que cette période d’inac- tivité d’environ dix mois était manifestement excessive, étant précisé que le SEM se devait de tenir compte et d’examiner les écritures et pièces com- plémentaires fournies postérieurement par les intéressés (dont notamment le fait que les trois enfants mineurs avaient acquis la nationalité suédoise, comme l’attestaient les copies de leurs passeports suédois) avant de se prononcer définitivement sur leur demande, qu’on notera, par ailleurs, que la décision du SEM du 3 mars 2023 est certes intervenue après une longue période d’attente, toutefois moins de deux ans après que cette autorité a été saisie du dossier des intéressés, que, cela étant, il y a aussi lieu de tenir compte du fait que le dépôt du recours en déni de justice a possiblement accéléré le processus de déci- sion auprès du SEM, de sorte qu’il se justifie de renoncer exceptionnelle- ment à la perception de frais de procédure (cf. art. 6 let. b FITAF), qu’en outre, vu l’issue de la présente cause, la demande d’avance de frais de 1'000 francs est devenue sans objet, de sorte que son non-paiement n’emporte pas de conséquence en l’espèce,</w:t>
      </w:r>
    </w:p>
    <w:p>
      <w:r>
        <w:t>F-540/2023 Page 8 que, s’agissant de l’allocation de dépens lorsque la procédure est devenue sans objet, celle-ci est réglée par l’art. 5 FITAF, applicable par analogie (cf. art. 15 FITAF), qu’au vu de toutes les circonstances du présent cas et dès lors qu’on ne saurait encore, prima facie, qualifier de manifestement excessive – bien que celle-ci s’eût avérée longue –, la période d’inactivité qui s’est écoulée entre le droit d’être entendu accordé aux recourants et le dépôt de leur recours en déni de justice, il n’y a pas lieu d’accorder de dépens aux inté- ressés, (dispositif sur la page suivante)</w:t>
      </w:r>
    </w:p>
    <w:p>
      <w:r>
        <w:t>F-540/2023 Page 9 le Tribunal administratif fédéral décide : 1. L'affaire est radiée du rôle. 2. Il n'est pas perçu de frais de procédure, ni alloué de dépens. 3. La présente décision est adressée aux recourants, à l'autorité inférieure et à l’autorité cantonale concernée.</w:t>
      </w:r>
    </w:p>
    <w:p>
      <w:r>
        <w:t>L'indication des voies de droit se trouve à la page suivante.</w:t>
      </w:r>
    </w:p>
    <w:p>
      <w:r>
        <w:t>Le juge unique : La greffière :</w:t>
      </w:r>
    </w:p>
    <w:p>
      <w:r>
        <w:t>Gregor Chatton Noémie Gonseth</w:t>
      </w:r>
    </w:p>
    <w:p>
      <w:r>
        <w:t>Expédition :</w:t>
      </w:r>
    </w:p>
    <w:p>
      <w:r>
        <w:t>F-540/2023 Page 10 Indication des voies de droit : Pour autant que les conditions au sens des art. 82 ss, 90 ss et 100 ss LTF soient remplies, le présent arrêt peut être attaqué devant le Tribunal fédé- ral, 1000 Lausanne 14, par la voie du recours en matière de droit public, dans les trente jours qui suivent la notification. Ce délai est réputé observé si les mémoires sont remis au plus tard le dernier jour du délai, soit au Tribunal fédéral soit, à l'attention de ce dernier, à La Poste Suisse ou à une représentation diplomatique ou consulaire suisse (art. 48 al. 1 LTF). Le mé- moire doit être rédigé dans une langue officielle, indiquer les conclusions, les motifs et les moyens de preuve, et être signé. L'arrêt attaqué et les moyens de preuve doivent être joints au mémoire, pour autant qu'ils soient en mains de la partie recourante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