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F-5403/2019 vom 22. Oktober 2019</w:t>
      </w:r>
    </w:p>
    <w:p>
      <w:r>
        <w:t>Bundesverwaltungsgericht, 2019-10-22, DE</w:t>
      </w:r>
    </w:p>
    <w:p>
      <w:r>
        <w:rPr>
          <w:b/>
        </w:rPr>
        <w:t xml:space="preserve">Quelle: </w:t>
      </w:r>
      <w:r>
        <w:t>https://mcp.opencaselaw.ch/entscheid/bvger_F-5403_2019</w:t>
      </w:r>
    </w:p>
    <w:p>
      <w:r>
        <w:t>FR: TAF F-5403/2019 du 22 octobre 2019</w:t>
      </w:r>
    </w:p>
    <w:p>
      <w:r>
        <w:t>IT: TAF F-5403/2019 del 22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Wenn der Antragsteller ein gültiges Visum besitzt, ist derjenige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(ABl. L 243 vom 15.9.2009) erteilt wurde. In diesem Fall ist der vertretene Mitgliedstaat für die Prüfung des Antrags auf internationalen Schutz zuständig (Art. 12 Abs. 2 Dublin-III-VO). Ein Abgleich mit dem CS-VIS ergab, dass der Beschwerdeführerin (Mutter) am 26. Mai 2019 von Estland ein Schengen-Visum, gültig vom 18. Juni 2019 bis am 16. Oktober 2019, ausgestellt wurde. Ausserdem ist dem in den Akten liegenden Reisepapier zu entnehmen, dass Estland auch dem Beschwerdeführer (Vater) am 14. Februar 2019 ein vom 21. Februar 2019 bis am 16. Oktober 2019 gültiges Schengen-Visum ausgestellt hat. Die estnische Vertretung hat dies nicht im Auftrag eines anderen Mitgliedstaats getan. Die estnischen Behörden hiessen die Übernahmeersuchen des SEM vom 4. September 2019 am 1. Oktober 2019 denn auch gestützt auf Art. 12 Abs. 2 Dublin-III-VO gut. Vor diesem Hintergrund ist die Zuständigkeit Estlands zur Durchführung des Asyl- und Wegweisungsverfahrens gegeben.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4.1</w:t>
      </w:r>
    </w:p>
    <w:p>
      <w:r>
        <w:t>In der Beschwerde wird im Wesentlichen geltend gemacht, der angefochtene Entscheid beruhe auf einer unzureichenden Abklärung des Sachverhalts und einer mangelnden Berücksichtigung der individuellen Situation des Beschwerdeführers. Dieser habe sich etwa drei Wochen vor der Eröffnung des Entscheids zu L._______ begeben und die anwesende Assistentin gebeten, für ihn einen Termin bei einem Psychologen zu vereinbaren, da er psychische Probleme habe und diese schlimmen Bilder vor sich sehe. Die Assistentin habe diesen Wunsch offenbar nicht weitergeleitet und als Begründung sinngemäss angegeben, eine Konsultation sei im Dublin-Verfahren nicht vorgesehen. Der Beschwerdeführer habe auch beim zweiten Vorsprechen sinngemäss zu verstehen gegeben, dass die ihm abgegebenen Medikamente nichts genützt hätten. Aus den sich in den Akten befindenden ärztlichen Berichten sei das mehrmalige Vorsprechen des Beschwerdeführers nicht ersichtlich. Auch müsse die Reaktion der Assistentin so verstanden werden, dass man seinem Wunsch nicht habe nachkommen wollen. Die vom Beschwerdeführer gewünschte Untersuchung bei einem Psychologen habe jedoch auch im Dublin-Verfahren wesentliche Bedeutung. So sei zum Zeitpunkt des Entscheids unklar gewesen, welche psychischen Probleme vorlagen. Je nach Schwere dieser Beeinträchtigung hätte dies auch Einfluss auf den Entscheid gehabt. Insofern liege sowohl eine Verletzung des rechtlichen Gehörs als auch des Untersuchungsgrundsatzes vor. Zusammenfassend sei der medizinische Sachverhalt nicht genügend eruiert worden, weshalb die Sache zur Neubeurteilung an die Vorinstanz zurückzuweisen sei. Die Anwendung von Art. 29a Abs. 3 AsylV 1 liege im Ermessen der Vor-instanz. Nur mit den vollständigen Informationen zum gesundheitlichen Zustand des Beschwerdeführers könne sie insbesondere die Zulässigkeit einer allfälligen Rückschiebung beurteilen. Das Einholen dieser Informationen sei jedoch unzureichend gewesen. Der Beschwerdeführer sei gesundheitlich angeschlagen. Mit der vorliegenden Beschwerde werde insbesondere beantragt, dass sein Gesundheitszustand detailliert abzuklären sei. Es gelte insbesondere zu überprüfen, ob der Gesundheitszustand nicht schon an sich einen Selbsteintritt der Schweiz erfordere und ob ein Transfer überhaupt möglich sei. Sollte der Beschwerde keine aufschiebende Wirkung erteilt werden, verwirkliche sich dieses Risiko gerade. Es drohe dem Beschwerdeführer und seiner gesamten Familie ein nicht wiedergutzumachender Nachteil.</w:t>
      </w:r>
    </w:p>
    <w:p>
      <w:r>
        <w:rPr>
          <w:b/>
        </w:rPr>
        <w:t>E. 4.2</w:t>
      </w:r>
    </w:p>
    <w:p>
      <w:r>
        <w:t>Mit ihren Vorbringen fordern die Beschwerdeführenden die Anwendung von Art. 17 Abs. 1 Dublin-III-VO respektive Art. 29a Abs. 3 AsylV 1. Es ist daher nachfolgend im Licht von Art. 3 Abs. 2 Dublin-III-VO zu prüfen, ob wesentliche Gründe für die Annahme bestehen, das Asylverfahren und die Aufnahmebedingungen für Asylsuchende in Estland würden systemische Schwachstellen aufweisen, die eine Gefahr einer unmenschlichenoder entwürdigenden Behandlung der Beschwerdeführenden im Sinne des Artikels 4 der EU-Grundrechtecharta mit sich bringen würden (E. 5) und ob nach Art. 17 Abs. 1 Satz 1 Dublin-III-VO das Selbsteintrittsrecht auszuüben ist (E. 6).</w:t>
      </w:r>
    </w:p>
    <w:p>
      <w:r>
        <w:rPr>
          <w:b/>
        </w:rPr>
        <w:t>E. 5.1</w:t>
      </w:r>
    </w:p>
    <w:p>
      <w:r>
        <w:t>Estland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Insgesamt ist nicht ersichtlich, dass das Asylverfahren in Estland - oder die dortigen Aufnahmebedingungen für Antragsteller - systemische Schwachstellen aufweisen würden, die eine Gefahr einer unmenschlichen oder entwürdigenden Behandlung im Sinne des Artikels 4 der EU-Grundrechtecharta mit sich bringen würden.</w:t>
      </w:r>
    </w:p>
    <w:p>
      <w:r>
        <w:rPr>
          <w:b/>
        </w:rPr>
        <w:t>E. 5.2</w:t>
      </w:r>
    </w:p>
    <w:p>
      <w:r>
        <w:t>Unter diesen Umständen ist die Anwendung von Art. 3 Abs. 2 Dublin-III-VO nicht gerechtfertigt.</w:t>
      </w:r>
    </w:p>
    <w:p>
      <w:r>
        <w:rPr>
          <w:b/>
        </w:rPr>
        <w:t>E. 6.1</w:t>
      </w:r>
    </w:p>
    <w:p>
      <w:r>
        <w:t>Die Beschwerdeführenden haben kein konkretes und ernsthaftes Risiko dargetan, die estnischen Behörden würden sich weigern, sie aufzunehmen und ihren Antrag auf internationalen Schutz unter Einhaltung der Regeln der Verfahrensrichtlinie zu prüfen. Den Akten sind denn auch keine Gründe für die Annahme zu entnehmen, Estland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Es ist nicht davon auszugehen, die estnischen Behörden würden sie in ihre Heimat zurückschaffen, ohne zuvor ihre Asylgründe geprüft zu haben und das Non-Refoulement-Gebot einzuhalten. Die Beschwerdeführenden haben ausserdem nicht dargetan, die sie bei einer Rückführung erwartenden Bedingungen in Estland seien derart schlecht, dass sie zu einer Verletzung von Art. 4 der EU-Grundrechtecharta, Art. 3 EMRK oder Art. 3 FoK führen könnten. Sie haben auch nicht konkret dargelegt, Estland würde ihnen dauerhaft die ihnen gemäss Aufnahmerichtlinie zustehenden minimalen Lebensbedingungen vorenthalten. Bei einer allfälligen vorübergehenden Einschränkung steht es ihnen offen, sich an die zuständigen estnischen Behörden zu wenden und die ihnen zustehenden Aufnahmebedingungen auf dem Rechtsweg einzufordern (vgl. Art. 26 Aufnahmerichtlinie). Es sind keine konkreten Anhaltspunkte dafür ersichtlich, die Beschwerdeführenden gerieten im Falle einer Wegweisung nach Estland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estnischen Justizbehörden zu wenden. Dasselbe gilt für den Umstand, dass sich die Beschwerdeführenden in Estland nicht sicher fühlen. Estland ist ein Rechtsstaat mit funktionierenden Polizei- und Justizbehörden, deren Schutz die Beschwerdeführenden einfordern und in Anspruch nehmen können.</w:t>
      </w:r>
    </w:p>
    <w:p>
      <w:r>
        <w:rPr>
          <w:b/>
        </w:rPr>
        <w:t>E. 6.2.1</w:t>
      </w:r>
    </w:p>
    <w:p>
      <w:r>
        <w:t>Zum Beleg ihrer gesundheitlichen Probleme liessen die Beschwerdeführenden mit der Beschwerde verschiedene Unterlagen einreichen (vgl. BVGer-act. 1, Beilagen 4-6). Gemäss dem Formular "Zuweisung zur medizinischen Abklärung" vom 26. September 2019 verordnete der konsultierte Arzt der Beschwerdeführerin auf ihren Wunsch hin wegen ausgeprägter Akne die Pille Yaz. Dem Formular "Zuweisung zur medizinischen Abklärung" vom 15. Oktober 2019 zufolge litt die Beschwerdeführerin (Mutter) an anhaltenden thorakolumbalen Rückenschmerzen mechanischer Natur. Gemäss Beurteilung des beigezogenen Arztes sind diese Rückenschmerzen wohl hauptsächlich durch muskuläre Insuffizienz verursacht, sodass der Beschwerdeführerin ein regelmässiges Rücken-Turn-Programm im Bundesasylzentrum empfohlen wurde. Die Pflegefachperson L._______ wurde gebeten, sie diesbezüglich zu unterstützen, allenfalls auch mittels gezieltem Taping. Zum sicheren Ausschluss einer nephrologischen Ursache bat der Arzt ausserdem um einmalige Durchführung eines Urinstreifentests. Damit könne eine Infektion im Bereich der unteren oder oberen Harnwege ausgeschlossen werden. Aufgrund der Akne im Gesichtsbereich wurde der Beschwerdeführerin wunschgemäss die Creme Retin-A verschrieben. Gemäss dem Formular "Zuweisung zur medizinischen Abklärung" vom 15. Oktober 2019 konsultierte der Beschwerdeführer (Vater) den Arzt wegen Insomnie mit Gedankenkreisen infolge traumatischer Erlebnisse. Er beschrieb Albträume und erklärte, immer wieder Bilder vom Krieg zu sehen. Dies betreffe vor allem traumatische Erlebnisse aus Estland, wo er mehrere Monate während seiner Flucht untergebracht gewesen sei. Er wünsche dringend einen Gesprächstermin bei einem Psychologen beziehungsweise einem Psychiater. Der ärztlichen Beurteilung zufolge trat auf eine Baldriangabe (Redormin) nur eine geringe Besserung der Schlafbeschwerden ein, weshalb ein schlafanstossendes Antidepressivum (Trittico) eingesetzt werden solle. Der Arzt erklärte dem Beschwerdeführer, dass im Bundesasylzentrum die gewünschte psychologische Begleit- und Traumatherapie nicht möglich sei. Dies müsste jedoch rasch nach dem Transfer angeordnet werden.</w:t>
      </w:r>
    </w:p>
    <w:p>
      <w:r>
        <w:rPr>
          <w:b/>
        </w:rPr>
        <w:t>E. 6.2.2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aufgrund der geschilderten und diagnostizierten gesundheitlichen Beschwerden nicht gegeben. Die Be-schwerdeführenden konnten nicht nachweisen, dass eine Überstellung ihre Gesundheit ernsthaft gefährden würde. Ihr Gesundheitszustand vermag eine Unzulässigkeit im Sinne der erwähnten restriktiven Rechtsprechung nicht zu rechtfertigen. Die gesundheitlichen Beeinträchtigungen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Estland seinen Verpflichtungen im Rahmen der Dublin-III-VO in medizinischer Hinsicht nicht nachkommen würde. Vielmehr ist davon auszugehen, dass Estland über eine ausreichende Gesundheitsstruktur verfügt, um den Beschwerdeführenden die benötigte medizinische Unterstützung zukommen zu lassen (vgl. Urteil des BVGer E-8079/2015 vom 18. April 2016 E. 4.3.2 m.H.). Für das weitere Dublin-Verfahren ist einzig die Reisefähigkeit ausschlaggebend, welche erst kurz vor der Überstellung definitiv beurteilt wird. Eine allenfalls fehlende Reisefähigkeit stellt lediglich ein temporäres Vollzugshindernis dar. Im Übrigen ist darauf hinzuweisen, dass die mit dem Vollzug der angefochtenen Verfügung beauftragten schweizerischen Behörden den medizinischen Umständen bei der Bestimmung der konkreten Modalitäten der Überstellung der Beschwerdeführenden Rechnung zu tragen haben. Ausserdem sind die estnischen Behörden im Sinne von Art. 31 und Art. 32 Dublin-III-VO vorgängig über den Gesundheitszustand und die notwendige medizinische Behandlung zu informieren.</w:t>
      </w:r>
    </w:p>
    <w:p>
      <w:r>
        <w:rPr>
          <w:b/>
        </w:rPr>
        <w:t>E. 6.3</w:t>
      </w:r>
    </w:p>
    <w:p>
      <w:r>
        <w:t>Nach dem Gesagten besteht kein konkretes und ernsthaftes Risiko, dass die Überstellung der Beschwerdeführenden nach Estland gegen Art. 3 EMRK oder andere völkerrechtliche Verpflichtungen der Schweizoder Landesrecht verstossen würde.</w:t>
      </w:r>
    </w:p>
    <w:p>
      <w:r>
        <w:rPr>
          <w:b/>
        </w:rPr>
        <w:t>E. 6.4</w:t>
      </w:r>
    </w:p>
    <w:p>
      <w:r>
        <w:t>Soweit die Beschwerdeführenden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Es hat diesen Umständen in der angefochtenen Verfügung Rechnung getragen und insbesondere auch die gesundheitliche Situation der Beschwerdeführenden ausreichend berücksichtigt (vgl. a.a.O., S. 4/5). Vor diesem Hintergrund erübrigt es sich, die angefochtene Verfügung zur detaillierten Abklärung des Gesundheitszustands des Beschwerdeführers beziehungsweise zur Neubeurteilung an das SEM zurückzuweisen. Der entsprechende Antrag ist abzuweisen. Die Vorinstanz hat nach dem Gesagten innerhalb ihres Ermessensspielraums gehandelt, welcher im Ergebnis vom Bundesverwaltungsgericht nicht mehr überprüft werden kann, weshalb es sich weiterer Ausführungen zur Frage eines Selbsteintritts enthält.</w:t>
      </w:r>
    </w:p>
    <w:p>
      <w:r>
        <w:rPr>
          <w:b/>
        </w:rPr>
        <w:t>E. 6.5</w:t>
      </w:r>
    </w:p>
    <w:p>
      <w:r>
        <w:t>Angesichts der vorstehenden Erwägungen gibt es keinen Grund für eine Anwendung der Ermessensklauseln von Art. 17 Dublin-III-VO und es bleibt an dieser Stelle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 Estland bleibt der für die Behandlung ihrer Asylgesuche zuständige Mitgliedstaat gemäss Dublin-III-VO.</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Estland in Anwendung von Art. 44 AsylG ebenfalls zu Recht angeordnet (Art. 32 Abs. 1 Bst. a AsylV 1).</w:t>
      </w:r>
    </w:p>
    <w:p>
      <w:r>
        <w:rPr>
          <w:b/>
        </w:rPr>
        <w:t>E. 8.1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8.2</w:t>
      </w:r>
    </w:p>
    <w:p>
      <w:r>
        <w:t>Indes ist das SEM dazu angehalten, die zuständigen estnischen Behörden im Sinne von Art. 31 Dublin-III-VO zu ersuchen, die Beschwerdeführenden gemeinsam als Familie in Empfang zu nehmen und in einer adäquaten Unterkunft unterzubringen.</w:t>
      </w:r>
    </w:p>
    <w:p>
      <w:r>
        <w:rPr>
          <w:b/>
        </w:rPr>
        <w:t>E. 9</w:t>
      </w:r>
    </w:p>
    <w:p>
      <w:r>
        <w:t>Zusammenfassend verletzt die angefochtene Verfügung Bundesrecht nicht und stellt den rechtserheblichen Sachverhalt richtig sowie vollständig fest (Art. 106 Abs. 1 AsylG). Die Beschwerde ist demzufolge abzuweisen.</w:t>
      </w:r>
    </w:p>
    <w:p>
      <w:r>
        <w:rPr>
          <w:b/>
        </w:rPr>
        <w:t>E. 10</w:t>
      </w:r>
    </w:p>
    <w:p>
      <w:r>
        <w:t>Mit dem vorliegenden Urteil in der Hauptsache sind die Gesuche um Erteilung der aufschiebenden Wirkung und um Verzicht auf die Erhebung eines Kostenvorschusses gegenstandslos geworden. Der am 17. Oktober 2019 angeordnete Vollzugsstopp fällt mit vorliegendem Urteil dahin.</w:t>
      </w:r>
    </w:p>
    <w:p>
      <w:r>
        <w:rPr>
          <w:b/>
        </w:rPr>
        <w:t>E. 11.1</w:t>
      </w:r>
    </w:p>
    <w:p>
      <w:r>
        <w:t>Die Begehren waren - wie sich aus den vorstehenden Erwägungen ergibt - als aussichtslos zu bezeichnen, weshalb das Gesuch um Gewährung der teilweisen unentgeltlichen Rechtspflege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