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F-539/2017 vom 30. Januar 2018</w:t>
      </w:r>
    </w:p>
    <w:p>
      <w:r>
        <w:t>Bundesverwaltungsgericht, 2018-01-30, FR</w:t>
      </w:r>
    </w:p>
    <w:p>
      <w:r>
        <w:rPr>
          <w:b/>
        </w:rPr>
        <w:t xml:space="preserve">Quelle: </w:t>
      </w:r>
      <w:r>
        <w:t>https://mcp.opencaselaw.ch/entscheid/bvger_F-539_2017</w:t>
      </w:r>
    </w:p>
    <w:p>
      <w:r>
        <w:t>FR: TAF F-539/2017 du 30 janvier 2018</w:t>
      </w:r>
    </w:p>
    <w:p>
      <w:r>
        <w:t>IT: TAF F-539/2017 del 30 gennaio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A teneur de l'art. 62 al. 4 PA, l'autorité de recours n'est pas liée par les motifs invoqués à l'appui du recours, ni par les considérants de la décision attaquée. Aussi peut-il admettre ou rejeter le pourvoi pour d'autres motifs que ceux invoqués (cf. ATAF 2014/1 consid. 2). Dans son arrêt, il prend en considération l'état de fait existant au moment où il statue (ibid.).</w:t>
      </w:r>
    </w:p>
    <w:p>
      <w:r>
        <w:rPr>
          <w:b/>
        </w:rPr>
        <w:t>E. 3.1</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w:t>
      </w:r>
    </w:p>
    <w:p>
      <w:r>
        <w:rPr>
          <w:b/>
        </w:rPr>
        <w:t>E. 3.2</w:t>
      </w:r>
    </w:p>
    <w:p>
      <w:r>
        <w:t>Aux termes de l'art. 2 al. 1 de l'ordonnance du 22 octobre 2008 sur l'entrée et l'octroi de visas (OEV, RS 142.204), les conditions d'entrée pour un séjour n'excédant pas 90 jours ou à des fins de transit sont régies par l'art. 6 du règlement (ue) 2016/399 du parlement européen et du conseil du 9 mars 2016 concernant un code de l'Union relatif au régime de franchissement des frontières par les personnes (code frontières Schengen) [JO L 77 du 23 mars 2016 p. 1].</w:t>
      </w:r>
    </w:p>
    <w:p>
      <w:r>
        <w:rPr>
          <w:b/>
        </w:rPr>
        <w:t>E. 3.3</w:t>
      </w:r>
    </w:p>
    <w:p>
      <w:r>
        <w:t>L'art. 6 par. 1 du code frontières Schengen, dont le contenu coïncide largement avec celui de l'art. 5 al. 1 LEtr précité (cf. à ce propos Egli/Meyer in: Caroni/Gächter/Thurnherr, Bundesgesetz über die Aus-länderinnen und Ausländer, Berne 2010, ad art. 5 LEtr, n°14), prescrit que pour un séjour prévu sur le territoire des Etats membres, d'une durée n'excédant pas 90 jours sur toute période de 180 jours, les conditions d'entrée pour les ressortissants de pays tiers sont les suivantes: ( let. a) être en possession d'un document de voyage en cours de validité autorisant son titulaire à franchir la frontière (les critères étant les suivants : la durée de validité du document est supérieure d'au moins trois mois à la date à laquelle le demandeur a prévu de quitter le territoire des Etats membres, sous réserve de dérogations en cas d'urgence dûment justifiée et il a été délivré depuis moins de dix ans) ; (let. b)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 (let. c)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 (let. d) ne pas être signalé aux fins de non-admission dans le Système d'information Schengen (SIS) ; (let. e)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w:t>
      </w:r>
    </w:p>
    <w:p>
      <w:r>
        <w:rPr>
          <w:b/>
        </w:rPr>
        <w:t>E. 3.4</w:t>
      </w:r>
    </w:p>
    <w:p>
      <w:r>
        <w:t>Par ailleurs, en application de l'art. 7 LEtr, l'entrée en Suisse et la sortie de Suisse sont régies par les accords d'association à Schengen.</w:t>
      </w:r>
    </w:p>
    <w:p>
      <w:r>
        <w:rPr>
          <w:b/>
        </w:rPr>
        <w:t>E. 4.1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Message du Conseil fédéral du 8 mars 2002 concernant la loi sur les étrangers, FF 2002 3568; ATAF 2008/24 consid. 4.2).</w:t>
      </w:r>
    </w:p>
    <w:p>
      <w:r>
        <w:rPr>
          <w:b/>
        </w:rPr>
        <w:t>E. 4.2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4.3.1</w:t>
      </w:r>
    </w:p>
    <w:p>
      <w:r>
        <w:t>Concernant plus spécifiquement les notions de sécurité et d'ordre publics (art. 67 al. 2 let. a LEtr), qui sont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w:t>
      </w:r>
    </w:p>
    <w:p>
      <w:r>
        <w:rPr>
          <w:b/>
        </w:rPr>
        <w:t>E. 4.3.2</w:t>
      </w:r>
    </w:p>
    <w:p>
      <w:r>
        <w:t>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4.3.3</w:t>
      </w:r>
    </w:p>
    <w:p>
      <w:r>
        <w:t>Une interdiction d'entrée peut notamment être prononcée lorsque l'étranger a violé les prescriptions du droit en matière d'étrangers (cf. message précité, FF 2002 3568). Selon la jurisprudence, le fait d'entrer, de séjourner et/ou de travailler en Suisse sans autorisation constitue une violation grave des prescriptions de police des étrangers (cf. notamment arrêt du TAF C-847/2013 du 21 mars 2014 consid. 5.3.3, avec jurispr. cit.).</w:t>
      </w:r>
    </w:p>
    <w:p>
      <w:r>
        <w:rPr>
          <w:b/>
        </w:rPr>
        <w:t>E. 4.4</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Uebersax/Rudin/Hugi Yar/Geiser [éd.], Ausländerrecht, 2ème éd., Bâle 2009, ch. 8.80 p. 356).</w:t>
      </w:r>
    </w:p>
    <w:p>
      <w:r>
        <w:rPr>
          <w:b/>
        </w:rPr>
        <w:t>E. 5</w:t>
      </w:r>
    </w:p>
    <w:p>
      <w:r>
        <w:t>En l'espèce, il sied dans un premier temps d'examiner si le principe du prononcé d'une interdiction d'entrée est fondé.</w:t>
      </w:r>
    </w:p>
    <w:p>
      <w:r>
        <w:rPr>
          <w:b/>
        </w:rPr>
        <w:t>E. 5.1</w:t>
      </w:r>
    </w:p>
    <w:p>
      <w:r>
        <w:t>Le 12 décembre 2016, l'autorité intimée a prononcé à l'encontre de A._______ une décision d'interdiction d'entrée en Suisse d'une durée de trois ans, au motif qu'il avait attenté à la sécurité et à l'ordre publics au sens de l'art. 67 LEtr en entrant et en séjournant illégalement dans l'Espace Schengen, et plus spécifiquement sur le territoire français, sans être en possession ni d'un visa, ni d'une autorisation idoine.</w:t>
      </w:r>
    </w:p>
    <w:p>
      <w:r>
        <w:rPr>
          <w:b/>
        </w:rPr>
        <w:t>E. 5.2</w:t>
      </w:r>
    </w:p>
    <w:p>
      <w:r>
        <w:t>Comme mentionné ci-dessus (cf. consid. 3.1), l'art. 5 al. 1 LEtr, dont le contenu coïncide avec l'art. 6 par. 1 du code frontières Schengen, stipule que pour entrer en Suisse, tout étranger doit avoir une pièce de légitimation reconnue pour le passage de la frontière et être muni d'un visa si ce dernier est requis. Reprenant le contenu de l'art. 6 par. 1 du code frontières Schengen, l'art. 4 al. 1 OEV stipule que les ressortissants des Etats énumérés à l'annexe I du Règlement (CE) no 539/2001 sont soumis à l'obligation de visa pour l'entrée en vue d'un séjour d'une durée n'excédant pas 90 jours. Ledit règlement a été modifié par le Règlement (CE) no 1244/2009 du Conseil du 30 novembre 2009, en inscrivant le Kosovo à l'annexe I précitée. L'art. 4 al. 2 let. a OEV précise que les titulaires d'un document de voyage valable et reconnu, ainsi que d'un titre de séjour valable délivré par un Etat (Etat Schengen) lié par l'un des accords d'association à Schengen (art. 6, par.1, let. b, et art. 34, par.1, let. a du code frontières Schengen), sont libérés de l'obligation de visa. En tant que ressortissant kosovar, A._______ est donc soumis à l'obligation de visa (cf. sur cette problématique, le site internet du SEM : www.sem.admin.ch Entrée &amp; séjour Entrée Directives Visas VII. Visas Séjour jusqu'à 90 jours Annexe 1, liste 1: Prescriptions documents de voyage et de visas selon nationalité Kosovo; version du 7 août 2017; site internet consulté en décembre 2017).</w:t>
      </w:r>
    </w:p>
    <w:p>
      <w:r>
        <w:rPr>
          <w:b/>
        </w:rPr>
        <w:t>E. 5.3</w:t>
      </w:r>
    </w:p>
    <w:p>
      <w:r>
        <w:t>Selon le rapport du 26 novembre 2016 de l'administration fédérale des douanes, non signé par A._______, celui-ci aurait déclaré avoir séjourné en France durant une certaine durée (cf. pce SEM p. 11). Par ailleurs, dans un formulaire du 26 novembre 2016 rédigé dans sa langue maternelle, cette fois-ci signé, il a reconnu avoir séjourné trois mois dans l'Espace Schengen (cf. pce SEM p. 9). Par la suite, l'intéressé est revenu sur ses déclarations en affirmant qu'il n'avait séjourné en Suisse que durant un mois (cf. pce TAF 1). Il ressort ainsi des pièces au dossier que ce dernier a séjourné durant trois mois sur le territoire d'un Etat membre de l'UE. L'infraction de police des étrangers reprochée au prénommé, à savoir un séjour illégal en l'absence de visa ou d'autorisation de séjour en bonne et due forme, est ainsi clairement réalisée.</w:t>
      </w:r>
    </w:p>
    <w:p>
      <w:r>
        <w:rPr>
          <w:b/>
        </w:rPr>
        <w:t>E. 5.4</w:t>
      </w:r>
    </w:p>
    <w:p>
      <w:r>
        <w:t>Dans son mémoire de recours, le recourant a fait valoir qu'il avait tenté sa chance et que ce n'était pas sa faute si les autorités compétentes l'avaient laissé pénétrer sur le territoire helvétique, précisant qu'il ne connaissait pas les règles de l'Espace Schengen. Or, ces circonstances ne sauraient être retenues à sa décharge, dès lors qu'il y a lieu de lui reprocher d'avoir manqué à son devoir de diligence (cf. arrêt du Tribunal administratif fédéral C-5068/2015 du 26 avril 2016 consid. 4.4., par. 2). Ainsi, force est de constater que l'intéressé n'a pas respecté la législation en vigueur en Suisse. Cela étant, ce dernier a porté atteinte à la sécurité et à l'ordre publics au sens de l'art. 80 al. 1 let. a OASA et à cet égard, peu importe les raisons de sa présence en Suisse.</w:t>
      </w:r>
    </w:p>
    <w:p>
      <w:r>
        <w:rPr>
          <w:b/>
        </w:rPr>
        <w:t>E. 5.5</w:t>
      </w:r>
    </w:p>
    <w:p>
      <w:r>
        <w:t>Compte tenu de ce qui précède, force est d'admettre que l'interdiction d'entrée prononcée le 12 décembre 2016 en application de l'art. 67 LEtr est parfaitement justifiée dans son principe, A._______ ayant bien attenté à la sécurité et à l'ordre publics par son comportement. A cet égard, il sied de rappeler qu'aux termes de l'art. 80 al. 1 let. a OASA, il y a notamment atteinte à la sécurité et à l'ordre publics en cas de violation de prescriptions légales ou de décisions d'autorités. Or, comme évoqué ci-avant, tel est précisément le cas en l'espèce, le fait d'entrer illégalement en Suisse, même à des fins de transit, sans autorisation idoine constitue bien une violation des prescriptions légales.</w:t>
      </w:r>
    </w:p>
    <w:p>
      <w:r>
        <w:rPr>
          <w:b/>
        </w:rPr>
        <w:t>E. 6</w:t>
      </w:r>
    </w:p>
    <w:p>
      <w:r>
        <w:t>Il convient encore d'examiner si la mesure d'éloignement prise par l'autorité intimée satisfait aux principes de proportionnalité et de l'égalité de traitement.</w:t>
      </w:r>
    </w:p>
    <w:p>
      <w:r>
        <w:rPr>
          <w:b/>
        </w:rPr>
        <w:t>E. 6.1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arrêts du Tribunal C-1487/2013 du 19 mai 2014 consid. 6.1 et les arrêts cités).</w:t>
      </w:r>
    </w:p>
    <w:p>
      <w:r>
        <w:rPr>
          <w:b/>
        </w:rPr>
        <w:t>E. 6.2</w:t>
      </w:r>
    </w:p>
    <w:p>
      <w:r>
        <w:t>En l'espèce, il appert que le motif retenu à l'appui de la mesure d'éloignement prise à l'endroit de A._______ (entrée illégale) ne saurait être contesté. L'infraction aux prescriptions de police des étrangers ainsi perpétrée doit être qualifiée de grave au sens indiqué plus haut (cf. supra consid. 4.3.3).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(cf. arrêt du Tribunal C-2973/2012 du 27 juin 2013 consid. 5.3.1).</w:t>
      </w:r>
    </w:p>
    <w:p>
      <w:r>
        <w:rPr>
          <w:b/>
        </w:rPr>
        <w:t>E. 6.3</w:t>
      </w:r>
    </w:p>
    <w:p>
      <w:r>
        <w:t>On relèvera toutefois, en sa faveur, que le recourant est jeune, qu'il s'agit d'une infraction isolée et que, sur le vu des pièces au dossier et de ses déclarations, seul un séjour illégal de trois mois dans l'Espace Schengen peut être retenu à sa charge (cf. supra consid. 5.3). En conséquence, au regard de la jurisprudence actuelle (cf. notamment l'arrêt du Tribunal administratif fédéral C-4654/2011 du 27 août 2012 et l'arrêt du Tribunal administratif fédéral C-4737/2015 du 30 juin 2016) et après une pondération des intérêts publics et privés en présence, le Tribunal de céans estime, tout bien considéré, que l'interdiction d'entrée querellée doit être réduite à une durée de deux ans.</w:t>
      </w:r>
    </w:p>
    <w:p>
      <w:r>
        <w:rPr>
          <w:b/>
        </w:rPr>
        <w:t>E. 7</w:t>
      </w:r>
    </w:p>
    <w:p>
      <w:r>
        <w:t>Le SEM a par ailleurs ordonné l'inscription de l'interdiction d'entrée dans le SIS. Ainsi que cela ressort du dossier, A._______ est un ressortissant d'un pays tiers au sens de la législation de l'Union européenne (cf. supra consid. 3.1). En raison de ce signalement dans le SIS, il lui est interdit de pénétrer dans l'Espace Schengen. Ce signalement est entièrement justifié par les faits retenus et satisfait au principe de proportionnalité au vu des circonstances du cas d'espèce (cf. art. 21 en relation avec l'art. 24 al. 2 et 3 du règlement SIS II). Il l'est d'autant plus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 (cf. supra consid. 4.2 in fine).</w:t>
      </w:r>
    </w:p>
    <w:p>
      <w:r>
        <w:rPr>
          <w:b/>
        </w:rPr>
        <w:t>E. 8</w:t>
      </w:r>
    </w:p>
    <w:p>
      <w:r>
        <w:t>Le recours est en conséquence partiellement admis et la décision querellée est réformée en ce sens qu'elle prendra fin le 11 décembre 2018. Compte tenu de l'issue de la cause, il y a lieu de mettre des frais de procédure réduits à la charge du recourant (cf. art. 63 al. 1 PA en relation avec les art. 1 à 3 du règlement du Tribunal administratif fédéral du 21 février 2008 concernant les frais, dépens et indemnités fixés par le Tribunal administratif fédéral [FITAF ; RS 173.320.2]). Obtenant partiellement gain de cause, le recourant a par ailleurs droit à des dépens partiels pour les frais nécessaires et relativement élevés causés par le litige (cf. art. 64 al. 1 PA en relation avec l'art. 7 FITAF). Au vu de l'ensemble des circonstances du cas, de l'importance de l'affaire et du degré de difficulté de cette dernière et de l'ampleur du travail accompli par le mandataire, le Tribunal estime, considérant les art. 8 ss FITAF, que le versement d'un montant de Fr. 300.- à titre de dépens apparaît comme équitable en la présente cause. (dispositif page suivante)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