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F-5399/2014 vom 5. Juli 2016</w:t>
      </w:r>
    </w:p>
    <w:p>
      <w:r>
        <w:t>Bundesverwaltungsgericht, 2016-07-05, IT</w:t>
      </w:r>
    </w:p>
    <w:p>
      <w:r>
        <w:rPr>
          <w:b/>
        </w:rPr>
        <w:t xml:space="preserve">Quelle: </w:t>
      </w:r>
      <w:r>
        <w:t>https://mcp.opencaselaw.ch/entscheid/bvger_F-5399_2014</w:t>
      </w:r>
    </w:p>
    <w:p>
      <w:r>
        <w:t>FR: TAF F-5399/2014 du 5 juillet 2016</w:t>
      </w:r>
    </w:p>
    <w:p>
      <w:r>
        <w:t>IT: TAF F-5399/2014 del 5 luglio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LTF;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(RS 142.20), la SEM vieta l'entrata in Svizzera, fatto salvo il cpv. 5, ad uno straniero allontanato se, l'allontanamento è eseguito immediatamente in virtù dell'articolo 64d capoverso 2 lettere a-c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4.1</w:t>
      </w:r>
    </w:p>
    <w:p>
      <w:r>
        <w:t>Per coloro i quali vi si possono lecitamente richiamare e nella misura in cui contenga disposizioni derogatorie più favorevoli, determinante è inoltre l'ALC.</w:t>
      </w:r>
    </w:p>
    <w:p>
      <w:r>
        <w:rPr>
          <w:b/>
        </w:rPr>
        <w:t>E. 4.2</w:t>
      </w:r>
    </w:p>
    <w:p>
      <w:r>
        <w:t>In base all'ALC, le parti contraenti ammettono nel rispettivo territorio i cittadini dell'altra parte contraente e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4.3</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dell'ordine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4.5</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4.6</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4.7</w:t>
      </w:r>
    </w:p>
    <w:p>
      <w:r>
        <w:t>Inoltre, come nel caso di qualsiasi altro cittadino straniero, l'esame deve essere effettuato tenendo presente le garanzie derivanti dalla CEDU così come del principio della proporzionalità (cfr. DTF 131 II 352 consid. 3.3 e numerosi rinvii)</w:t>
      </w:r>
    </w:p>
    <w:p>
      <w:r>
        <w:rPr>
          <w:b/>
        </w:rPr>
        <w:t>E. 5.1</w:t>
      </w:r>
    </w:p>
    <w:p>
      <w:r>
        <w:t>Il ricorrente è in casu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ai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5.4</w:t>
      </w:r>
    </w:p>
    <w:p>
      <w:r>
        <w:t>A tal proposito la recente giurisprudenza ha stabilito che la nozione di «pericolo grave» richiede un grado di gravità maggiore al «semplice» pericolo o minaccia all'ordine e la sicurezza pubblici (art. 67 cpv. 2 lett. a LStr), ma anche maggiore alla nozione di «pericolo di una certa gravità», necessaria per pronunciare un divieto d'entrata per un cittadino di uno Stato ALC. Operando un raffronto con la nozione di «pericolo di una certa gravità» dell'art. 5 allegato 1 ALC (per una casistica cfr. le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et al., op. cit., ad art. 67 LStr, n. marg. 5, pag. 271; Andrea Binder Oser, in: Caroni et al., Bundesgesetz über die Ausländerinnen und Ausländer,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6.1</w:t>
      </w:r>
    </w:p>
    <w:p>
      <w:r>
        <w:t>Nella fattispecie in disamina, la SEM ha pronunciato nei confronti di A._______ un divieto d'entrata in Svizzera e nel Liechtenstein della durata di 10 anni, valido fino al 12 agosto 2024, ritenendo che il ricorrente abbia violato e minacciato la sicurezza e l'ordine pubblici, interessando le autorità penali ticinesi per i reati di ripetuti atti preparatori punibili di rapina, ripetuta rapina consumata e tentata, e tentato furto.</w:t>
      </w:r>
    </w:p>
    <w:p>
      <w:r>
        <w:rPr>
          <w:b/>
        </w:rPr>
        <w:t>E. 6.2</w:t>
      </w:r>
    </w:p>
    <w:p>
      <w:r>
        <w:t>Dalle tavole processuali si evince infatti che A._______, cittadino italiano residente a C._______, è giunto in Svizzera come frontaliere attivo nel settore della vendita al dettaglio. Egli è padre di due bambini piccoli. Delle allegazioni del ricorrente risulta che il matrimonio è entrato in crisi nel periodo compreso tra il 2011 e il 2012. Nel luglio 2012 infatti le competenti autorità italiane hanno pronunciato una sentenza di separazione, mediante la quale A._______ è stato obbligato a versare mensilmente alla moglie e ai figli un contributo per il mantenimento di EUR 1'800.-, in seguito ridotto a EUR 800.- (cfr. atto ricorsuale del 22 settembre 2014, atto 1 dell'incarto TAF F-5399/2014, pag. 2). A seguito di queste circostanze, l'interessato si è trovato in condizioni economiche precarie. Per questo motivo ha intrapreso il percorso criminale che lo ha condotto, in correità con il giovane collega D._______, a commettere in Svizzera i reati per i quali è stato condannato il 29 ottobre 2013. Infatti nel periodo compreso tra l'ottobre 2012 e il gennaio 2013 il ricorrente ha intrapreso ripetuti atti preparatori punibili di rapina, ha perpetrato una rapina ai danni di un distributore di benzina, ha in seguito tentato nuovamente di rapinare un'altra stazione di servizio ed ha invano cercato di derubare la zia del correo D._______. Sebbene dagli atti emerge come in realtà fosse quest'ultimo la mente ed il principale autore degli atti testé descritti, la Corte delle assise correzionali di Bellinzona ha qualificato come grave la colpa di A._______, ragione per cui gli ha comminato una pena detentiva di 22 mesi, sospesa per un periodo di prova di 2 anni (cfr. sentenza della Corte delle assise correzionali di Bellinzona del 29 ottobre 2013, pagg. 1-12 dell'incarto Simic).</w:t>
      </w:r>
    </w:p>
    <w:p>
      <w:r>
        <w:rPr>
          <w:b/>
        </w:rPr>
        <w:t>E. 6.3</w:t>
      </w:r>
    </w:p>
    <w:p>
      <w:r>
        <w:t>Sulla base di queste circostanze, vista la gravità e la pericolosità delle infrazioni commesse, il provvedimento avversato soddisfa le condizioni che permettono all'autorità di derogare al principio della libera circolazione sancito dall'ALC. Occorre infatti ricordare che le autorità elvetiche si mostrano alquanto severe verso i cittadini stranieri che si sono resi colpevoli di rapina. Questo reato, sebbene sia inserito nel CP nel capitolo previsto per i reati contro il patrimonio, costituisce in realtà un'infrazione molto grave. Si tratta in effetti di una forma aggravata di furto, caratterizzata dal fatto che l'autore sottrae una cosa mobile altrui usando violenza sulla vittima, minacciandola di un pericolo imminente alla vita o all'integrità corporale o rendendola incapace di opporre resistenza (cfr. DTF 133 IV 207 consid. 4.2 e la giurisprudenza ivi citata). La rapina figura infatti tra le gravi infrazioni contro l'integrità fisica, psichica o sessuale, elencate all'art. 64 CP, che a determinate condizioni possono portare alla pronuncia di un internamento.</w:t>
      </w:r>
    </w:p>
    <w:p>
      <w:r>
        <w:rPr>
          <w:b/>
        </w:rPr>
        <w:t>E. 6.4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(cfr.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7.2</w:t>
      </w:r>
    </w:p>
    <w:p>
      <w:r>
        <w:t>Nel suo gravame e nel successivo scambio di scritti A._______ ha sostenuto che gli atti delittuosi per i quali è stato condannato rappresentassero un unicum, essendo egli fino ad allora incensurato, mentre detti reati sono da porre nel difficile contesto in cui si trovava in quel momento. Il ricorrente ha altresì ricordato come da allora non abbia più commesso atti penalmente reprensibili e come i delitti oggetto della condanna del 29 ottobre 2013 risalgano oramai a diversi anni orsono, ragione per cui non sarebbe giustificato ritenerlo una minaccia attuale per l'ordine e la sicurezza pubblici. Venendo meno una delle condizioni per le quali è possibile pronunciare un divieto d'entrata di lunga durata, l'interessato ha dunque postulato l'annullamento della decisione impugnata, subordinatamente la riduzione della durata del divieto d'entrata ad un massimo di un anno.</w:t>
      </w:r>
    </w:p>
    <w:p>
      <w:r>
        <w:rPr>
          <w:b/>
        </w:rPr>
        <w:t>E. 7.3</w:t>
      </w:r>
    </w:p>
    <w:p>
      <w:r>
        <w:t>Il Tribunale costata che successivamente ai fatti di cui alla citata condanna da parte della Corte delle assise correzionali A._______ è stato nuovamente oggetto di un procedimento penale. Dagli atti risulta infatti che in data 17 marzo 2014 il Ministero pubblico del Cantone Ticino ha emanato nei suoi confronti un decreto d'accusa per il reato di grave infrazione alla LCStr e, vista l'opposizione interposta dall'interessato, in data 14 novembre 2014 si è svolto il dibattimento dinanzi alla Pretura penale, di cui tuttavia non è dato a sapere l'esito (cfr. documentazione allegata all'atto 3 dell'incarto TAF F-5399/2014).</w:t>
      </w:r>
    </w:p>
    <w:p>
      <w:r>
        <w:rPr>
          <w:b/>
        </w:rPr>
        <w:t>E. 7.4</w:t>
      </w:r>
    </w:p>
    <w:p>
      <w:r>
        <w:t>Quest'ultimo procedimento penale per grave violazione della LCStr - le cui accuse, se confermate, sono verosimilmente sfociate in una condanna ad una pena pecuniaria sospesa e ad una multa - dimostra che, sebbene la situazione personale dell'interessato abbia conosciuto una positiva stabilizzazione, in quanto appare che A._______ disponga di un impiego stabile e stia regolarizzando la propria situazione debitoria (cfr. atto di replica del 18 marzo 2015, atto 14 dell'incarto TAF F-5399/2014, pag. 2), egli non si è astenuto dal violare la legge successivamente ai fatti di cui alla citata condanna del 29 ottobre 2013. Questa circostanza non può che fare sorgere dubbi in merito alla propensione dell'interessato a rispettare l'ordinamento giuridico e di riflesso l'attualità della minaccia che egli ad oggi rappresenta per l'ordine e la sicurezza pubblici. Dagli atti di causa emerge che il ricorrente è al beneficio di un contratto di lavoro stabile quale magazziniere ed autista in Italia, grazie al quale percepisce un reddito regolare che gli permette di fare fronte alle proprie spese, di procedere al versamento degli alimenti in favore dei figli e di ripagare i propri debiti (cfr. documentazione prodotta il 26 gennaio 2015 nell'ambito della richiesta di concessione dell'assistenza giudiziaria e del gratuito patrocinio, atto 9 dell'incarto TAF F-5399/2014). Ciononostante il Tribunale considera che non si possa escludere che in futuro - qualora vi fosse un improvviso peggioramento della situazione personale ed economica, paragonabile allo stato di difficoltà nel quale l'interessato si era trovato quando aveva commesso gli atti delittuosi oggetto della condanna a 22 mesi di pena detentiva - spinto dallo stato di bisogno e per fare fronte ai propri impegni, A._______ commetta nuovamente gravi atti delittuosi contro il patrimonio. Ne discende che a mente dello scrivente Tribunale si giustifica il mantenimento di una misura di divieto d'entrata di durata superiore a 5 anni giusta l'art. 67 cpv. 3 2a frase LStr.</w:t>
      </w:r>
    </w:p>
    <w:p>
      <w:r>
        <w:rPr>
          <w:b/>
        </w:rPr>
        <w:t>E. 8.1</w:t>
      </w:r>
    </w:p>
    <w:p>
      <w:r>
        <w:t>Il divieto d'entrata in Svizzera di durata superiore a 5 anni è quindi confermato nel suo principio. A fronte di quanto esposto resta ora da stabilire se la durata di 10 anni della misura di allontanamento adottata dalla SEM nei confronti di A._______ sia conforme al principio di proporzionalità e, procedendo ad un apprezzamento degli interessi privati e pubblici in gioco, valutare se sia adeguata alle circostanze del caso di specie.</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principalmente all'art. 8 CEDU, il quale garantisce il diritto al rispetto della vita privata e familiare, sottolineando che la decisione dell'autorità inferiore comporterebbe l'impossibilità di entrare in Svizzera e di coltivare il rapporto con la compagna e con i di lei figli residenti in Ticino. Dagli atti risulta altresì che l'intenzione della coppia è quella di unirsi in matrimonio.</w:t>
      </w:r>
    </w:p>
    <w:p>
      <w:r>
        <w:rPr>
          <w:b/>
        </w:rPr>
        <w:t>E. 8.5</w:t>
      </w:r>
    </w:p>
    <w:p>
      <w:r>
        <w:t>L'art. 8 CEDU tutela la vita privata e familiare delle persone. Questa disposizione non garantisce tuttavia il diritto ad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w:t>
      </w:r>
    </w:p>
    <w:p>
      <w:r>
        <w:rPr>
          <w:b/>
        </w:rPr>
        <w:t>E. 8.6</w:t>
      </w:r>
    </w:p>
    <w:p>
      <w:r>
        <w:t>La protezione del diritto al rispetto della vita privata e familiare conferita dalla norma convenzionale non ha però valenza assoluta, poiché ai sensi dell'art. 8 cpv. 2 CEDU, un'ingerenza delle autorità rimane possibile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8.7</w:t>
      </w:r>
    </w:p>
    <w:p>
      <w:r>
        <w:t>In casu, come si è visto l'interessato si è richiamato al rapporto con la compagna, cittadina elvetica residente in Ticino, e con i figli di quest'ultima, unitamente al fatto che la coppia intende convolare a nozze. Il Tribunale costata che la relazione con la compagna - fatta eccezione nel caso di circostanze particolari, che nella presente fattispecie non sono date - non può beneficiare della protezione del diritto al rispetto della vita privata e familiare ai sensi dell'art. 8 CEDU (cfr. sentenza del TF 2C_840/2010 del 2 novembre 2010 consid. 3), che mira a garantire in particolare i rapporti tra i coniugi, nonché quelli tra genitori e figli minorenni che vivono in comunione. Dagli atti di causa emerge che l'interessato vive e lavora in Italia, di conseguenza l'intensità dei rapporti intrattenuti con la compagna residente in Svizzera - che come poc'anzi esposto in assenza del matrimonio, il quale per il momento non è altro che un semplice auspicio della coppia, non rientrano nella categoria dei legami protetti dalla citata norma convenzionale - non può che essere relativizzata, non essendovi una comunione domestica. Quanto testé considerato vale anche per ciò che concerne i rapporti tra A._______ ed i figli della compagna, non beneficiando questo tipo di relazioni della protezione del diritto al rispetto della vita privata e familiare ai sensi dell'art. 8 CEDU.</w:t>
      </w:r>
    </w:p>
    <w:p>
      <w:r>
        <w:rPr>
          <w:b/>
        </w:rPr>
        <w:t>E. 8.8</w:t>
      </w:r>
    </w:p>
    <w:p>
      <w:r>
        <w:t>Da quanto precede ne discende che la decisione impugnata non viola l'art. 8 CEDU e il ricorrente non può fondare alcun diritto sulla base di tale disposizione.</w:t>
      </w:r>
    </w:p>
    <w:p>
      <w:r>
        <w:rPr>
          <w:b/>
        </w:rPr>
        <w:t>E. 9.1</w:t>
      </w:r>
    </w:p>
    <w:p>
      <w:r>
        <w:t>Tenuto conto dell'insieme delle circostanze del caso di specie, ed in particolare della gravità dei delitti commessi da A._______, come pure del fatto che egli non sembra essersi astenuto dal delinquere successivamente ai fatti del periodo compreso tra l'ottobre 2012 e il gennaio 2013 e che hanno comportato la condanna del 29 ottobre 2013, il Tribunale considera che il ricorrente rappresenti ad oggi un pericolo grave ed attuale per l'ordine e la sicurezza pubblici. Non si può in effetti non tenere in considerazione il fatto che il tempo trascorso dagli ultimi gravi atti criminosi sia solamente di poco superiore a 3 anni. Inoltre sebbene la sua situazione personale appare essere migliorata, non si può escludere il rischio che qualora si ripresentasse una situazione difficile sul piano personale a causa del contesto economico che rimane precario (dalle informazioni fornite risulta infatti che il ricorrente, al beneficio dell'assistenza giudiziaria giusta l'art. 65 cpv. 1 PA, percepisce un salario mensile netto pari a circa fr. 1'600.- con il quale deve fare fronte alle proprie spese, al versamento dei contributi di mantenimento in favore dei figli e al rimborso dei debiti contratti; cfr. documentazione prodotta il 26 gennaio 2015 nell'ambito della richiesta di concessione dell'assistenza giudiziaria e del gratuito patrocinio, atto 9 dell'incarto TAF F-5399/2014), A._______ potrebbe essere nuovamente spinto a commettere gravi atti delittuosi contro il patrimonio. Occorre infatti considerare che, contrariamente a quanto sostenuto dall'interessato, i delitti di ripetuti atti preparatori punibili di rapina, ripetuta rapina tentata e consumata, nonché tentato furto commessi da A._______ non rappresentassero un episodio isolato, in realtà sono stati commessi sull'arco di un periodo di più mesi, ciò che conferma l'alto grado di pericolosità insito in un simile modo di agire.</w:t>
      </w:r>
    </w:p>
    <w:p>
      <w:r>
        <w:rPr>
          <w:b/>
        </w:rPr>
        <w:t>E. 9.2</w:t>
      </w:r>
    </w:p>
    <w:p>
      <w:r>
        <w:t>Ciò posto, dalle considerazioni che precedono, ne deriva che l'interesse pubblico all'allontanamento di A._______ dalla Svizzera e del Liechtenstein prevale su quello privato di quest'ultimo ad entrarvi. Di conseguenza, da una corretta valutazione degli interessi pubblici e privati in gioco, emerge che il divieto d'entrata di 10 anni è adeguato alle circostanze del caso concreto.</w:t>
      </w:r>
    </w:p>
    <w:p>
      <w:r>
        <w:rPr>
          <w:b/>
        </w:rPr>
        <w:t>E. 10</w:t>
      </w:r>
    </w:p>
    <w:p>
      <w:r>
        <w:t>Ne discende che la SEM con la decisione del 13 agosto 2014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(art. 63 cpv. 1 PA) devono essere poste a carico del ricorrente, in quanto soccombente. Tuttavia alla luce della domanda di esonero delle stesse, accolta dal Tribunale con decisione incidentale del 10 febbraio 2015, il ricorrente è esentato dal pagamento di ogni importo (cfr. lett. F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