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F-5373/2019 vom 31. Oktober 2019</w:t>
      </w:r>
    </w:p>
    <w:p>
      <w:r>
        <w:t>Bundesverwaltungsgericht, 2019-10-31, FR</w:t>
      </w:r>
    </w:p>
    <w:p>
      <w:r>
        <w:rPr>
          <w:b/>
        </w:rPr>
        <w:t xml:space="preserve">Quelle: </w:t>
      </w:r>
      <w:r>
        <w:t>https://mcp.opencaselaw.ch/entscheid/bvger_F-5373_2019</w:t>
      </w:r>
    </w:p>
    <w:p>
      <w:r>
        <w:t>FR: TAF F-5373/2019 du 31 octobre 2019</w:t>
      </w:r>
    </w:p>
    <w:p>
      <w:r>
        <w:t>IT: TAF F-5373/2019 del 31 ottobre 2019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procédure de recours est conduite en français.</w:t>
      </w:r>
    </w:p>
    <w:p>
      <w:r>
        <w:rPr>
          <w:b/>
        </w:rPr>
        <w:t>E. 2</w:t>
      </w:r>
    </w:p>
    <w:p>
      <w:r>
        <w:t>Le recours est admis.</w:t>
      </w:r>
    </w:p>
    <w:p>
      <w:r>
        <w:rPr>
          <w:b/>
        </w:rPr>
        <w:t>E. 3</w:t>
      </w:r>
    </w:p>
    <w:p>
      <w:r>
        <w:t>La décision du 4 octobre 2019 est annulée et la cause retournée à l'autorité intimée pour nouvelle décision au sens des considérants.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Un montant de 768,85 francs est alloué au recourant, à titre de dépens, à charge de l'autorité inférieure.</w:t>
      </w:r>
    </w:p>
    <w:p>
      <w:r>
        <w:rPr>
          <w:b/>
        </w:rPr>
        <w:t>E. 6</w:t>
      </w:r>
    </w:p>
    <w:p>
      <w:r>
        <w:t>Le présent arrêt est adressé : - au recourant, par l'entremise de sa mandataire (recommandé) - à l'autorité inférieure, Domaine de direction asile, avec le dossierN (...) en retour - en copie, au Migrationsamt du canton de Thurgovie, pour information Le juge unique : Le greffier : Gregor Chatton Sylvain Félix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