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F-5366/2023 vom 9. Oktober 2023</w:t>
      </w:r>
    </w:p>
    <w:p>
      <w:r>
        <w:t>Bundesverwaltungsgericht, 2023-10-09, DE</w:t>
      </w:r>
    </w:p>
    <w:p>
      <w:r>
        <w:rPr>
          <w:b/>
        </w:rPr>
        <w:t xml:space="preserve">Quelle: </w:t>
      </w:r>
      <w:r>
        <w:t>https://mcp.opencaselaw.ch/entscheid/bvger_F-5366_2023</w:t>
      </w:r>
    </w:p>
    <w:p>
      <w:r>
        <w:t>FR: TAF F-5366/2023 du 9 octobre 2023</w:t>
      </w:r>
    </w:p>
    <w:p>
      <w:r>
        <w:t>IT: TAF F-5366/2023 del 9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die Asylgesuche auf ihre Begründetheit hin zu überprüfen (Art. 31a Abs. 1-3 AsylG), ist die Beurteilungskompetenz der Beschwerdeinstanz grundsätzlich auf die Frage beschränkt, ob die Vorinstanz zu Recht auf die Asylgesuche nicht eingetreten ist (vgl. BVGE 2017 VI/5 E. 3.1; 2012/4 E. 2.2; je m.w.H.). Weiterungen zu den Ausführungen der Beschwerdeführenden in Bezug auf eine allfällige Verfolgung in der Türkei, mithin ihre Asylgründe, erübrigen sich hiermit.</w:t>
      </w:r>
    </w:p>
    <w:p>
      <w:r>
        <w:rPr>
          <w:b/>
        </w:rPr>
        <w:t>E. 3</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Die Beschwerdeführenden wurden am 3. August 2023 in Kroatien daktyloskopisch erfasst, was sich unbenommen von ihrer fehlenden Absicht dort Asylgesuche einzureichen, als zuständigkeitsbegründend erweist. Die Abnahme der Fingerabdrücke von illegal eingereisten ausländischen Personen stützt sich auf Art. 14 Abs. 1 der Verordnung (EU) Nr. 603/2013 des Europäischen Parlaments und des Rats vom 26. Juni 2013 (Eurodac-Verordnung). Nachdem die kroatischen Behörden dem Wiederaufnahmegesuch der Vorinstanz zugestimmt haben, ist die grundsätzliche Zuständigkeit Kroatiens für die Durchführung der Asyl- und Wegweisungsverfahren gegeben.</w:t>
      </w:r>
    </w:p>
    <w:p>
      <w:r>
        <w:rPr>
          <w:b/>
        </w:rPr>
        <w:t>E. 5.1</w:t>
      </w:r>
    </w:p>
    <w:p>
      <w:r>
        <w:t>Erweist es sich als unmöglich, eine antragstellende Person an den zunächst als zuständig bestimmten Mitgliedstaat zu überstellen, da es wesentliche Gründe für die Annahme gibt, dass das Asylverfahren und die Aufnahmebedingungen für Antragstellende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erster Satz Dublin-III-VO). Dieses sogenannte Selbsteintrittsrecht hat das SEM obligatorisch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zudem die Vorinstanz das Asylgesuch «aus humanitären Gründen» auch dann behandeln, wenn dafür gemäss Dublin-III-VO ein anderer Staat zuständig wäre.</w:t>
      </w:r>
    </w:p>
    <w:p>
      <w:r>
        <w:rPr>
          <w:b/>
        </w:rPr>
        <w:t>E. 6</w:t>
      </w:r>
    </w:p>
    <w:p>
      <w:r>
        <w:t>Gemäss jüngster Rechtsprechung des Bundesverwaltungsgerichts weisen das Asylverfahren und die Aufnahmebedingungen für Antragstellende in Kroatien keine systemischen Schwachstellen im Sinne von Art. 3 Abs. 2 zweiter und dritter Satz Dublin-III-VO auf (vgl. Urteil E-1488/2020 vom 22. März 2023 [als Referenzurteil publiziert] E. 9.5). Entgegen den Ausführungen in der Beschwerde ist insbesondere nicht davon auszugehen, Dublin-Rückkehrende würden in Kroatien ohne Möglichkeit der Prüfung ihres Schutzersuchens und in Verletzung des Refoulement-Verbots zurückgewiesen (vgl. a.a.O. E. 9.4.4; D-5225/2023 vom 4. Oktober 2023). Durch ihre Weiterreise in die Schweiz wenige Tage nach Erfassung ihrer Fingerabdrücke in Kroatien haben sich die Beschwerdeführenden einem dortigen Asylverfahren eigenverantwortlich entzogen. Art. 3 Abs. 2 Dublin-III-VO findet folglich keine Anwendung.</w:t>
      </w:r>
    </w:p>
    <w:p>
      <w:r>
        <w:rPr>
          <w:b/>
        </w:rPr>
        <w:t>E. 7.1</w:t>
      </w:r>
    </w:p>
    <w:p>
      <w:r>
        <w:t>Schliesslich ist zu prüfen, ob das Selbsteintrittsrecht nach Art. 17 Abs. 1 erster Satz Dublin-III-VO beziehungsweise Art. 29a Abs. 3 AsylV 1 auszuüben ist.</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hat die diesbezüglichen völkerrechtlichen Verpflichtungen zu beachten.</w:t>
      </w:r>
    </w:p>
    <w:p>
      <w:r>
        <w:rPr>
          <w:b/>
        </w:rPr>
        <w:t>E. 7.3</w:t>
      </w:r>
    </w:p>
    <w:p>
      <w:r>
        <w:t>Die von den Beschwerdeführenden bei ihrer illegalen Einreise nach Kroatien geltend gemachten Vorkommnisse (Gewaltanwendung und sexuelle Belästigung durch Polizeibeamte) lassen nicht den Schluss zu, sie hätten bei einer Überstellung nach Kroatien mit hoher Wahrscheinlichkeit eine unmenschliche oder erniedrigende Behandlung im Sinne von Art. 3 EMRK zu gewärtigen. Sollten sie nach ihrer Rückkehr von Behördenvertretern rechtswidrig behandelt werden, haben sie sich an das kroatische Justizwesen oder die dortigen Aufsichtsbehörden zu wenden. Ferner lassen sich den Akten keine Gründe für die Annahme entnehmen, Kroatien werde in ihrem Fall den Grundsatz des Non-Refoulement missachten und sie zur Ausreise in ein Land zwingen, in dem ihr Leib, ihr Leben oder ihre Freiheit aus einem Grund nach Art. 3 Abs. 1 AsylG gefährdet wäre oder in dem sie Gefahr laufen würden, zur Ausreise in ein solches Land gezwungen zu werden (siehe E. 6 hiervor).</w:t>
      </w:r>
    </w:p>
    <w:p>
      <w:r>
        <w:rPr>
          <w:b/>
        </w:rPr>
        <w:t>E. 7.4</w:t>
      </w:r>
    </w:p>
    <w:p>
      <w:r>
        <w:t>In Bezug auf den Gesundheitszustand ist festzuhalten, dass die in der Beschwerde vorgebrachte Traumatisierung des Beschwerdeführers 3 gänzlich unbelegt blieb. Die im vorinstanzlichen Verfahren dokumentierten gesundheitlichen Beeinträchtigungen der Beschwerdeführenden (Schlafstörungen, Zahnschmerzen, Hautausschlag, Balanitis, gynäkologische und psychische Beschwerden) sind allesamt nicht derart gravierend, dass in Anwendung von Art. 3 EMRK von einer Überstellung nach Kroatien abgesehen werden müsste (vgl. dazu Urteile des EGMR Paposhvili gegen Belgien vom 13. Dezember 2016, Grosse Kammer, 41738/10, §§ 180-193 m.w.H., bestätigt durch Savran gegen Dänemark 7. Dezember 2021, Grosse Kammer, 57467/15, §§ 121 ff.). Im Übrigen verfügt Kroatien über eine ausreichende medizinische Infrastruktur für deren Behandlung (vgl. statt vieler: Urteil des BVGer E-5171/2023 vom 2. Oktober 2023 E. 5.2.4 m.H.) und ist verpflichtet, den Antragstellenden die erforderliche medizinische Versorgung zugänglich zu machen (Art. 19 Abs. 1 der Richtlinie des Europäischen Parlaments und des Rates 2013/33/EU vom 26. Juni 2013 zur Festlegung von Normen für die Aufnahme von Personen, die internationalen Schutz beantragen [Aufnahmerichtlinie]).</w:t>
      </w:r>
    </w:p>
    <w:p>
      <w:r>
        <w:rPr>
          <w:b/>
        </w:rPr>
        <w:t>E. 7.5</w:t>
      </w:r>
    </w:p>
    <w:p>
      <w:r>
        <w:t>Demnach hat die Vorinstanz das Selbsteintrittsrecht gemäss Art. 17 Abs. 1 Dublin-III-VO und Art. 29a Abs. 3 AsylV 1 zutreffend nicht ausgeübt, zumal die Schweiz weder völkerrechtlich verpflichtet ist, auf die Asylgesuche einzutreten, noch Rechtsfehler bei der Ermessensbetätigung dargetan oder ersichtlich sind.</w:t>
      </w:r>
    </w:p>
    <w:p>
      <w:r>
        <w:rPr>
          <w:b/>
        </w:rPr>
        <w:t>E. 8</w:t>
      </w:r>
    </w:p>
    <w:p>
      <w:r>
        <w:t>Nach dem Gesagten ist die Vorinstanz zu Recht auf die Asylgesuche der Beschwerdeführenden nicht eingetreten und hat ihre Wegweisung nach Kroatien angeordnet. Die Beschwerde ist abzuweisen. Mit vorliegendem Urteil fällt der angeordnete Vollzugsstopp dahin. Die Gesuche um Gewährung der aufschiebenden Wirkung der Beschwerde und um Verzicht auf die Erhebung eines Kostenvorschusses sind mit heutigem Entscheid gegenstandslos geworden.</w:t>
      </w:r>
    </w:p>
    <w:p>
      <w:r>
        <w:rPr>
          <w:b/>
        </w:rPr>
        <w:t>E. 9</w:t>
      </w:r>
    </w:p>
    <w:p>
      <w:r>
        <w:t>Entsprechend dem Verfahrensausgang sind die Kosten den unterliegenden Beschwerdeführenden aufzuerlegen (Art. 63 Abs. 1 VwVG) und auf insgesamt Fr. 750.- festzusetzen (Art. 1 ff. des Reglements vom 21. Februar 2008 über die Kosten und Entschädigungen vor dem Bundesverwaltungsgericht [VGKE, SR 173.320.2]).</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