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F-5359/2016 vom 18. Juni 2018</w:t>
      </w:r>
    </w:p>
    <w:p>
      <w:r>
        <w:t>Bundesverwaltungsgericht, 2018-06-18, DE</w:t>
      </w:r>
    </w:p>
    <w:p>
      <w:r>
        <w:rPr>
          <w:b/>
        </w:rPr>
        <w:t xml:space="preserve">Quelle: </w:t>
      </w:r>
      <w:r>
        <w:t>https://mcp.opencaselaw.ch/entscheid/bvger_F-5359_2016</w:t>
      </w:r>
    </w:p>
    <w:p>
      <w:r>
        <w:t>FR: TAF F-5359/2016 du 18 juin 2018</w:t>
      </w:r>
    </w:p>
    <w:p>
      <w:r>
        <w:t>IT: TAF F-5359/2016 del 18 giugno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(Bst. a), Sozialhilfekosten verursacht haben (Bst. b AuG) oder in Vorbereitungs-, Ausschaffungs- oder Durchsetzungshaft genommen worden sind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des Risikos einer künftigen Gefährdung an. Bei der Prognosestellung ist naturgemäss in erster Linie das vergangene Verhalten der betroffenen Person zu berücksichtigen (vgl. etwa Urteil des BVGer F-954/2016 vom 3. August 2016 E. 3.2 m.H.).</w:t>
      </w:r>
    </w:p>
    <w:p>
      <w:r>
        <w:rPr>
          <w:b/>
        </w:rPr>
        <w:t>E. 3.3</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C-7177/2015 vom 29. April 2016 E. 4.2 m.H.).</w:t>
      </w:r>
    </w:p>
    <w:p>
      <w:r>
        <w:rPr>
          <w:b/>
        </w:rPr>
        <w:t>E. 3.4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wirft dem Beschwerdeführer in der angefochtenen Verfügung vor, am 29. August 2016 ohne Bewilligung einer Erwerbstätigkeit nachgegangen zu sei. Wie aus dem Sachverhalt hervorgeht, stützte sie sich hierbei auf den nicht rechtskräftigen Strafbefehl der Staatsanwaltschaft Limmattal/Albis vom 30. August 2016.</w:t>
      </w:r>
    </w:p>
    <w:p>
      <w:r>
        <w:rPr>
          <w:b/>
        </w:rPr>
        <w:t>E. 4.2</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 Einschränkungen des Begriffs Erwerbstätigkeit können sich lediglich dort ergeben, wo der besondere Charakter der Hilfeleistung gerade durch die verwandtschaftliche und emotionale Nähe zwischen den Beteiligten gewährleistet ist und die ausführende Person daher nicht durch einen Dritten ersetzt werden könnte, ohne dass der besondere Charakter der Hilfeleistung verloren ginge (vgl. Urteil BVGer F-4130/2015 vom 16. September 2016 E. 6.2.2 m.H.).</w:t>
      </w:r>
    </w:p>
    <w:p>
      <w:r>
        <w:rPr>
          <w:b/>
        </w:rPr>
        <w:t>E. 4.3</w:t>
      </w:r>
    </w:p>
    <w:p>
      <w:r>
        <w:t>Im Rahmen der ersten polizeilichen Einvernahme vom 30. August 2016 bestritt der Beschwerdeführer zunächst, auf der Baustelle gearbeitet zu haben (vgl. vorstehend Bst. B.). Konfrontiert mit den Aussagen des Baustellenleiters (der Beschwerdeführer habe Isolationsplatten getragen) sowie denjenigen seines Schwagers (der Beschwerdeführer habe ihm den ganzen Tag geholfen), räumte er lediglich ein, einen Abfallsack getragen zu haben (vgl. kant.-pag. 13-14). Auf seinen Wunsch hin wurde gleichentags eine zweite Einvernahme durchgeführt. Zu Beginn der zweiten Einvernahme gestand er, seinem Schwager auf der Baustelle geholfen zu haben. Aus Angst vor Konsequenzen habe er bei der ersten Einvernahme bestritten, auf der Baustelle gewesen zu sein bzw. gearbeitet zu haben. Für die ausgeführten Tätigkeiten habe er keinen Auftrag gehabt, er habe sie freiwillig ausgeführt (vgl. kant.-pag. 27-28). Im Rahmen des ihm gewährten rechtlichen Gehörs vom 30. August 2016 erklärte er, es sei ihm nicht bewusst gewesen, dass er nicht auf der Baustelle hätte sein dürfen und schon die geringste Hilfe in der Schweiz verboten sei. Er komme bereits seit 1999 regelmässig in die Schweiz, habe aber hier noch nie gearbeitet (vgl. kant.-pag. 32).</w:t>
      </w:r>
    </w:p>
    <w:p>
      <w:r>
        <w:rPr>
          <w:b/>
        </w:rPr>
        <w:t>E. 4.4</w:t>
      </w:r>
    </w:p>
    <w:p>
      <w:r>
        <w:t>Unbestrittenermassen hat der Beschwerdeführer demnach am 29. August 2016 Hilfsarbeiten ausgeführt. Bei den vorgenommenen Arbeiten handelt es sich um Tätigkeiten, welche üblicherweise gegen Entgelt verrichtet werden. Ob er für seine Hilfsarbeiten einen Lohn erhalten hat oder diese (gemäss den Aussagen seines Schwagers) unentgeltlich erbracht hat, spielt in diesem Zusammenhang keine Rolle (vgl. hierzu und zum Folgenden E. 4.2). Da die vom Beschwerdeführer erbrachten Hilfeleistungen für seinen Schwager auch von jeder anderen beliebigen Person hätten erbracht werden können, ohne dass auf die verwandtschaftliche Beziehung abzustellen gewesen wäre, sind vorliegend auch die Voraussetzungen einer solchen Ausnahmesituation nicht erfüllt. Des Weiteren vermag den Beschwerdeführer nicht zu entlasten, dass er sich seiner Schuld nicht bewusst gewesen sein will, zumal es für die Verhängung eines Einreiseverbots keines vorsätzlichen Verstosses gegen ausländerrechtliche Bestimmungen bedarf (vgl. vorstehend E. 3.3).</w:t>
      </w:r>
    </w:p>
    <w:p>
      <w:r>
        <w:rPr>
          <w:b/>
        </w:rPr>
        <w:t>E. 4.5</w:t>
      </w:r>
    </w:p>
    <w:p>
      <w:r>
        <w:t>Auch die Rüge des Beschwerdeführers, wonach der Strafbefehl im Zeitpunkt des Erlasses der angefochtenen Verfügung nicht rechtskräftig gewesen sei, ist nicht stichhaltig (vgl. dazu auch vorstehend Bst. G). Das Einreiseverbot knüpft direkt an die Störung der öffentlichen Sicherheit und Ordnung an und nicht an die Ahndung dieser Störungen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BVGE 2013/33 E. 4.3) und sofern keine Gefahr im Verzug ist - den rechtkräftigen Abschluss des Strafverfahrens abwarten. Etwas anderes gilt, wenn der Sachverhalt unbestritten ist oder aufgrund der Akten keine Zweifel an ihm bestehen (vgl. Urteil des BVGer F-1473/2016 vom 15. Mai 2017 E. 4.3.1 m.w.H.). Es genügt mithin, wenn - wie vorliegend (siehe E. 4.3 vorne) - Verdachtsmomente vorliegen, die von den Behörden als hinreichend konkret erachtet werden. In Erinnerung zu rufen gilt es an dieser Stelle nochmals, dass es für die Anordnung von Fernhaltemassnahmen im fraglichen Bereich keines vorsätzlichen Verstosses gegen gesetzliche Bestimmungen bedarf (siehe E. 3.3 hiervor).</w:t>
      </w:r>
    </w:p>
    <w:p>
      <w:r>
        <w:rPr>
          <w:b/>
        </w:rPr>
        <w:t>E. 4.6</w:t>
      </w:r>
    </w:p>
    <w:p>
      <w:r>
        <w:t>Vorliegend ist die Verletzung ausländerrechtlicher Bestimmungen offensichtlich. Nachdem der Beschwerdeführer bei der ersten polizeilichen Einvernahme aus Angst vor den Konsequenzen (vgl. vorstehend E. 4.3) noch bestritten hat, überhaupt auf der Baustelle gewesen zu sein, gestand er bei der zweiten polizeilichen Einvernahme ein, auf der Baustelle Hilfsarbeiten für seinen Schwager geleistet zu haben. Seine Angst vor den möglichen Konsequenzen hat wohl auch dazu geführt, dass er immer wieder versucht hat, die von ihm vorgenommenen Tätigkeiten zu bagatellisieren. Zweifellos dürfte diese Motivation auch den Bestreitungsvermerken zugrunde liegen, die er in seiner Beschwerde sowie in seiner Einsprache gegen den Strafbefehl erhoben hat, weshalb diese als reine Schutzbehauptungen zu werten sind. Vorliegend ist demnach die Verletzung ausländerrechtlicher Bestimmungen durch die Aussagen des Beschwerdeführers erstellt.</w:t>
      </w:r>
    </w:p>
    <w:p>
      <w:r>
        <w:rPr>
          <w:b/>
        </w:rPr>
        <w:t>E. 4.7</w:t>
      </w:r>
    </w:p>
    <w:p>
      <w:r>
        <w:t>Zusammenfassend stellt das Bundesverwaltungsgericht fest, dass der Beschwerdeführer am 29. August 2016 einer Erwerbstätigkeit im Sinne des Gesetzes nachgegangen ist ohne im Besitze der hierfür erforderlichen Bewilligung zu sein (Art. 115 Abs. 1 Bst. c AuG i.V.m. Art. 11 Abs. 2 AuG und Art. 1a und 2 VZAE). Damit hat er gegen die öffentliche Sicherheit und Ordnung verstossen und einen hinreichenden Anlass zur Verhängung eines Einreiseverbots bewirkt (vgl. Art. 67 Abs. 2 Bst. a AuG; Art. 80 Abs. 1 Bst. a VZAE). Überdies ist vorliegend auch der Tatbestand von Art. 67 Abs. 1 Bst. a erfüllt.</w:t>
      </w:r>
    </w:p>
    <w:p>
      <w:r>
        <w:rPr>
          <w:b/>
        </w:rPr>
        <w:t>E. 5.1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Der Beschwerdeführer ging in der Schweiz einer Erwerbstätigkeit ohne Bewilligung nach und wurde deshalb rechtskräftig weggewiesen. Solches Fehlverhalten wiegt objektiv gesehen nicht leicht. Aus dem von ihm manifestierten Verhalten ist auf eine Gefährdung der öffentlichen Sicherheit und Ordnung zu schliessen, d.h. das Einreiseverbot hat auch spezialpräventiven Charakter, um einer weiteren illegalen Erwerbstätigkeit und damit einer weiteren Störung der öffentlichen Sicherheit und Ordnung entgegenzuwirken (vgl. Urteil des BVGer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5.3</w:t>
      </w:r>
    </w:p>
    <w:p>
      <w:r>
        <w:t>Den öffentlichen Interessen sind die privaten Interessen des Beschwerdeführers gegenüberzustellen. Sein dargelegtes Interesse, weiterhin seine Verwandten in der Schweiz besuchen zu können, blieb sehr vage und unbestimmt. Infolgedessen sind keine privaten Interessen ersichtlich, die eine Aufhebung oder eine Verkürzung des Einreiseverbots zu rechtfertigen vermögen. Überdies sind dem Beschwerdeführer während der Geltungsdauer der Fernhaltemassnahme Besuchsaufenthalte bei ihm allfällig nahe stehenden Personen in der Schweiz nicht schlichtweg untersagt; das SEM kann die Fernhaltemassnahme auf begründetes Gesuch hin aus humanitären oder anderen wichtigen Gründen befristet suspendieren (vgl. Art. 67 Abs. 5 AuG; BVGE 2013/4 E. 7.4.3 m.H.). Im Übrigen kann der Kontakt zu seinen Verwandten in der Schweiz auch auf andere Weise als durch persönliche Begegnungen hierzulande gepflegt werden (z.B. Telefonate, Skype, Nachrichten über Whatsapp, Besuche der Verwandten in seinem Heimatland). Das verhängte Einreiseverbot stellt somit sowohl im Grundsatz als auch hinsichtlich der Dauer eine verhältnismässige und angemessene Massnahme zum Schutz der öffentlichen Sicherheit und Ordnung dar.</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