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F-5342/2020 vom 7. April 2022</w:t>
      </w:r>
    </w:p>
    <w:p>
      <w:r>
        <w:t>Bundesverwaltungsgericht, 2022-04-07, DE</w:t>
      </w:r>
    </w:p>
    <w:p>
      <w:r>
        <w:rPr>
          <w:b/>
        </w:rPr>
        <w:t xml:space="preserve">Quelle: </w:t>
      </w:r>
      <w:r>
        <w:t>https://mcp.opencaselaw.ch/entscheid/bvger_F-5342_2020</w:t>
      </w:r>
    </w:p>
    <w:p>
      <w:r>
        <w:t>FR: TAF F-5342/2020 du 7 avril 2022</w:t>
      </w:r>
    </w:p>
    <w:p>
      <w:r>
        <w:t>IT: TAF F-5342/2020 del 7 aprile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einzutreten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w:t>
      </w:r>
    </w:p>
    <w:p>
      <w:r>
        <w:t>Die Beschwerdeführerin ist soweit ersichtlich nach wie vor mit einem deutschen Staatsangehörigen verheiratet. Das Bundesgericht hat mit Urteil vom 13. Februar 2020 jedoch die Auffassung des Migrationsamts und des Verwaltungsgerichts geschützt, dass es sich dabei um eine lediglich formell bestehende Ehe ohne wirklichen Ehewillen handelt (Akten der Vorinstanz [SEM-act.] 4). Das Bundesverwaltungsgericht ist an das höchstrichterliche Urteil gebunden. Auf das Abkommen vom 21. Juni 1999 zwischen der Schweizerischen Eidgenossenschaft einerseits und der Europäischen Gemeinschaft und ihren Mitgliedstaaten andererseits über die Freizügigkeit (FZA, SR 0.142.112.681) kann sich die Beschwerdeführerin aufgrund des festgestellten Rechtsmissbrauchs deshalb nicht berufen (vgl. BGE 139 II 393 E. 2.1 m.w.H.).</w:t>
      </w:r>
    </w:p>
    <w:p>
      <w:r>
        <w:rPr>
          <w:b/>
        </w:rPr>
        <w:t>E. 4.1</w:t>
      </w:r>
    </w:p>
    <w:p>
      <w:r>
        <w:t>Das SEM verfügt Einreiseverbote gegenüber weggewiesenen ausländischen Personen, wenn die Wegweisung nach Art. 64d Abs. 2 Buchstaben a-c sofort vollstreckt wird (Art. 67 Abs. 1 Bst. a AIG) oder die betroffene Person der Ausreiseverpflichtung nicht innert Frist nachgekommen ist (Art. 67 Abs. 1 Bst. b AIG). Es kann sodann gestützt auf Art. 67 Abs. 2 AIG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AIG). Die Behörde kann aus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Ob eine Gefährdung der öffentlichen Sicherheit und Ordnung vorliegt, ist gestützt auf sämtliche Umstände des Einzelfalles im Sinne einer Prognose zu beurteilen. Dabei ist primär das vergangene Verhalten der betroffenen Person zu berücksichtigen.</w:t>
      </w:r>
    </w:p>
    <w:p>
      <w:r>
        <w:rPr>
          <w:b/>
        </w:rPr>
        <w:t>E. 4.3</w:t>
      </w:r>
    </w:p>
    <w:p>
      <w:r>
        <w:t>Einen Verstoss gegen die öffentliche Sicherheit und Ordnung im Sinne von Art. 67 Abs. 2 Bst. a AIG begeht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dar, um von einer Fernhaltemassnahme abzusehen. Jeder ausländischen Person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4.4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Art.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w:t>
      </w:r>
    </w:p>
    <w:p>
      <w:r>
        <w:t>Es steht fest, dass die Voraussetzungen des Art. 67 AIG vorliegend in mehrfacher Hinsicht erfüllt sind. Die Beschwerdeführerin hat einen Fernhaltegrund gemäss Art. 67 Abs. 1 Bst. b AIG gesetzt, indem sie nach dem Widerruf ihrer Aufenthaltsbewilligung EU/EFTA und der Wegweisung aus der Schweiz innerhalb der vom Verwaltungsgericht auf acht Wochen ab Rechtskraft seines Urteils angesetzten Frist (SEM-act. 3 S. 26) nicht ausgereist ist. Die entsprechende Anordnung wurde mit der Ausfällung des bundesgerichtlichen Urteils am 13. Februar 2020 (SEM-act. 4) rechtskräftig (Art. 61 BGG). Die von ihr auf Beschwerdeebene geltend gemachte Unkenntnis der Ausreisepflicht (Akten des Bundesverwaltungsgerichts [BVGer-act.] 1 S. 4) hilft ihr dabei nicht. Bei Unklarheiten hätte sie sich an die zuständigen Behörden wenden müssen (vgl. E. 4.3), was sie pflichtwidrig nicht getan hat. Als weiterer Fernhaltegrund treten Verstösse gegen die öffentliche Sicherheit und Ordnung im Sinne von Art. 67 Abs. 2 Bst. b AIG hinzu: Die Beschwerdeführerin hat gegenüber der kantonalen Bewilligungsbehörde eine intakte eheliche Beziehung vorgetäuscht, womit sie eine nach Art. 118 Abs. 1 AIG grundsätzlich strafbare Behördentäuschung begangen und gegen die ihr gemäss Art. 90 Abs. 1 Bst. a AIG obliegende Wahrheits- und Offenbarungspflicht verstossen hat (vgl. Urteile des BVGer F-3533/2016 vom 31. Mai 2017 E. 4.3; F-4369/2015 vom 18. Oktober 2016 E. 4.4; je m.H.). Das Eingehen einer Scheinehe wird praxisgemäss als schwerwiegender Verstoss gegen die öffentliche Ordnung angesehen (vgl. Urteil des BVGer F-4177/2019 vom 27. April 2021 E. 4.4 m.w.H.). Schliesslich ist ein weiterer Verstoss gegen die Ausländergesetzgebung der Schweiz aus dem Jahr 2014 aktenkundig (SEM-act. 1 S. 12 f.).</w:t>
      </w:r>
    </w:p>
    <w:p>
      <w:r>
        <w:rPr>
          <w:b/>
        </w:rPr>
        <w:t>E. 6.1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(Art. 5 Abs. 2 BV, Art. 96 AIG; BGE 139 II 121 E. 6.5.1; BVGE 2017 VII/2 E. 4.5).</w:t>
      </w:r>
    </w:p>
    <w:p>
      <w:r>
        <w:rPr>
          <w:b/>
        </w:rPr>
        <w:t>E. 6.2</w:t>
      </w:r>
    </w:p>
    <w:p>
      <w:r>
        <w:t>Die Beschwerdeführerin hat durch das Eingehen und Aufrechterhalten einer Scheinehe die Migrationsbehörden über Jahre hinweg getäuscht und sich dadurch erhebliche aufenthaltsrechtliche Vorteile verschafft. Ein solches Fehlverhalten wiegt objektiv schwer. Daraus ist auf eine Gefährdung der öffentlichen Sicherheit und Ordnung zu schliessen. Das Einreiseverbot hat deshalb spezialpräventiven Charakter, um weiteren illegalen Handlungen entgegenzuwirken. Zu berücksichtigen ist weiter, dass den ausländerrechtlichen Normen im Interesse einer funktionierenden Rechtsordnung eine hohe Bedeutung zukommt (BVGE 2014/20 E. 8.2; Urteil des BVGer F-5785/2019 vom 30. April 2020 E. 7.2). Das generalpräventiv motivierte Interesse, die ausländerrechtliche Ordnung durch eine konsequente Massnahmenpraxis zu schützen, ist als gewichtig zu betrachten. Es besteht vorliegend gesamthaft somit ein erhebliches öffentliches Interesse an der Fernhaltung der Beschwerdeführerin.</w:t>
      </w:r>
    </w:p>
    <w:p>
      <w:r>
        <w:rPr>
          <w:b/>
        </w:rPr>
        <w:t>E. 6.3</w:t>
      </w:r>
    </w:p>
    <w:p>
      <w:r>
        <w:t>Private Interessen, die eine Aufhebung oder eine Reduktion des Einreiseverbots rechtfertigen würden, macht die Beschwerdeführerin weder geltend, noch sind solche aus den Akten ersichtlich.</w:t>
      </w:r>
    </w:p>
    <w:p>
      <w:r>
        <w:rPr>
          <w:b/>
        </w:rPr>
        <w:t>E. 6.4</w:t>
      </w:r>
    </w:p>
    <w:p>
      <w:r>
        <w:t>Im Ergebnis ist daher festzuhalten, dass das angefochtene Einreiseverbot sowohl im Grundsatz als auch hinsichtlich der Dauer von zwei Jahren eine verhältnismässige und angemessene Massnahme zum Schutz der öffentlichen Sicherheit und Ordnung darstellt. Sie bewegt sich im Rahmen der bundesverwaltungsgerichtlichen Praxis in vergleichbaren Fällen (vgl. etwa Urteil des BVGer F-4025/2017 vom 1. Oktober 2018 E. 6).</w:t>
      </w:r>
    </w:p>
    <w:p>
      <w:r>
        <w:rPr>
          <w:b/>
        </w:rPr>
        <w:t>E. 7</w:t>
      </w:r>
    </w:p>
    <w:p>
      <w:r>
        <w:t>Die Ausschreibung des Einreiseverbots im Schengener Informationssystem (vgl. Art. 21 i.V.m. Art. 24 Ziff. 3 SIS-II-Verordnung) erweist sich unter den vorliegenden Umständen schliesslich als verhältnismässig und zur Wahrung der Interessen der Gesamtheit aller Schengen-Staaten als notwendig. Sie ist nicht zu beanstanden, geht es doch in Konstellationen wie der hier gegebenen um zentrale Bestimmungen der migrationsrechtlichen Ordnung. Sofern sich die Beschwerdeführerin der Ausschreibung mit Verweis auf die ihrer Ansicht nach unter dem Schutz von Art. 8 EMRK stehende Ehe mit einem deutschen Staatsangehörigen entgegenstellt (BVGer-act. 1 S. 5), ist erneut die rechtskräftig festgestellte Rechtsmissbräuchlichkeit dieser Beziehung hervorzustreichen (vgl. E. 3). Die Beschwerdeführerin kann aus selbiger nichts zu ihren Gunsten ableiten.</w:t>
      </w:r>
    </w:p>
    <w:p>
      <w:r>
        <w:rPr>
          <w:b/>
        </w:rPr>
        <w:t>E. 8</w:t>
      </w:r>
    </w:p>
    <w:p>
      <w:r>
        <w:t>Aus den vorstehenden Erwägungen ergibt sich, dass die angefochtene Verfügung im Lichte von Art. 49 VwVG nicht zu beanstanden ist. Die Beschwerde ist demzufolge abzuweisen.</w:t>
      </w:r>
    </w:p>
    <w:p>
      <w:r>
        <w:rPr>
          <w:b/>
        </w:rPr>
        <w:t>E. 9</w:t>
      </w:r>
    </w:p>
    <w:p>
      <w:r>
        <w:t>Entsprechend dem Ausgang des Verfahrens sind die Kosten in der Höhe von Fr. 1'000.- der Beschwerdeführerin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