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F-5339/2019 vom 12. April 2020</w:t>
      </w:r>
    </w:p>
    <w:p>
      <w:r>
        <w:t>Bundesverwaltungsgericht, 2020-04-12, IT</w:t>
      </w:r>
    </w:p>
    <w:p>
      <w:r>
        <w:rPr>
          <w:b/>
        </w:rPr>
        <w:t xml:space="preserve">Quelle: </w:t>
      </w:r>
      <w:r>
        <w:t>https://mcp.opencaselaw.ch/entscheid/bvger_F-5339_2019</w:t>
      </w:r>
    </w:p>
    <w:p>
      <w:r>
        <w:t>FR: TAF F-5339/2019 du 12 avril 2020</w:t>
      </w:r>
    </w:p>
    <w:p>
      <w:r>
        <w:t>IT: TAF F-5339/2019 del 12 aprile 2020</w:t>
      </w:r>
    </w:p>
    <w:p>
      <w:pPr>
        <w:pStyle w:val="Heading2"/>
      </w:pPr>
      <w:r>
        <w:t>Regeste</w:t>
      </w:r>
    </w:p>
    <w:p>
      <w:r>
        <w:t>Assegnazione di un richiedente l'asilo a un cantone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accolto, la decisione del 3 ottobre 2019 è annullata e la causa è rinviata alla SEM affinché proceda secondo le istruzioni esposte nei considerandi, e statuisca di nuovo.</w:t>
      </w:r>
    </w:p>
    <w:p>
      <w:r>
        <w:rPr>
          <w:b/>
        </w:rPr>
        <w:t>E. 2</w:t>
      </w:r>
    </w:p>
    <w:p>
      <w:r>
        <w:t>Non si prelevano spese processuali.</w:t>
      </w:r>
    </w:p>
    <w:p>
      <w:r>
        <w:rPr>
          <w:b/>
        </w:rPr>
        <w:t>E. 3</w:t>
      </w:r>
    </w:p>
    <w:p>
      <w:r>
        <w:t>Al ricorrente è attribuita un'indennità per spese ripetibili di fr. 400.-, a carico della SEM.</w:t>
      </w:r>
    </w:p>
    <w:p>
      <w:r>
        <w:rPr>
          <w:b/>
        </w:rPr>
        <w:t>E. 4</w:t>
      </w:r>
    </w:p>
    <w:p>
      <w:r>
        <w:t>Comunicazione: - al ricorrente (raccomandata); - alla SEM (ad N...). Il presidente del collegio: Il cancelliere: Daniele Cattaneo Dario Quirici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