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F-5333/2021 vom 30. Mai 2023</w:t>
      </w:r>
    </w:p>
    <w:p>
      <w:r>
        <w:t>Bundesverwaltungsgericht, 2023-05-30, FR</w:t>
      </w:r>
    </w:p>
    <w:p>
      <w:r>
        <w:rPr>
          <w:b/>
        </w:rPr>
        <w:t xml:space="preserve">Quelle: </w:t>
      </w:r>
      <w:r>
        <w:t>https://mcp.opencaselaw.ch/entscheid/bvger_F-5333_2021</w:t>
      </w:r>
    </w:p>
    <w:p>
      <w:r>
        <w:t>FR: TAF F-5333/2021 du 30 mai 2023</w:t>
      </w:r>
    </w:p>
    <w:p>
      <w:r>
        <w:t>IT: TAF F-5333/2021 del 30 maggio 2023</w:t>
      </w:r>
    </w:p>
    <w:p>
      <w:pPr>
        <w:pStyle w:val="Heading2"/>
      </w:pPr>
      <w:r>
        <w:t>Regeste</w:t>
      </w:r>
    </w:p>
    <w:p>
      <w:r>
        <w:t>Visa Schengen</w:t>
      </w:r>
    </w:p>
    <w:p>
      <w:pPr>
        <w:pStyle w:val="Heading2"/>
      </w:pPr>
      <w:r>
        <w:t>Erwägungen</w:t>
      </w:r>
    </w:p>
    <w:p>
      <w:r>
        <w:rPr>
          <w:b/>
        </w:rPr>
        <w:t>E. 1.1</w:t>
      </w:r>
    </w:p>
    <w:p>
      <w:r>
        <w:t>Les décisions sur opposition rendues par le SEM en matière d'entrée en Suisse peuvent être contestées devant le Tribunal administratif fédéral (cf. art. 112 al. 1 LEI, en relation avec les art. 31 ss LTAF [RS 173.32], notamment l'art. 33 let. d LTAF), qui statue de manière définitive (cf. art. 1 al. 2 LTAF, en relation avec l'art. 83 let. c ch. 1 LTF [RS 173.110]). Cela étant, la procédure devant le Tribunal est régie par la PA (cf. art. 37 LTAF). A._______ a qualité pour recourir au sens de l'art. 48 al. 1 PA, étant donné qu'il a participé à la procédure devant l'instance inférieure, qu'il est spécialement atteint par la décision querellée et a un intérêt digne de protection persistant à la modification de la décision attaquée. En effet, tout incite à penser que son souhait de pouvoir accueillir les membres de sa famille par alliance en Suisse demeure actuel en dépit du fait que le mariage de son frère a déjà été célébré. Le recours a par ailleurs été présenté dans la forme et les délais prescrits par la loi (cf. art. 50 al. 1 et 52 al. 1 PA). Ce dernier est par conséquent recevable.</w:t>
      </w:r>
    </w:p>
    <w:p>
      <w:r>
        <w:rPr>
          <w:b/>
        </w:rPr>
        <w:t>E. 1.2</w:t>
      </w:r>
    </w:p>
    <w:p>
      <w:r>
        <w:t>La partie recourante peut invoquer devant le Tribunal de céans la violation du droit fédéral, y compris l'excès ou l'abus du pouvoir d'appréciation, la constatation inexacte ou incomplète des faits pertinents et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2014/1 consid. 2).</w:t>
      </w:r>
    </w:p>
    <w:p>
      <w:r>
        <w:rPr>
          <w:b/>
        </w:rPr>
        <w:t>E. 2.1</w:t>
      </w:r>
    </w:p>
    <w:p>
      <w:r>
        <w:t>La politique en matière de visa joue un rôle très important dans la prévention de l'immigration clandestine (cf. Message du Conseil fédéral du 8 mars 2002 concernant la loi sur les étrangers [ci-après : Message LEtr], FF 2002 3469, spéc. p. 3493 ch. 1.2.6 in fine). Ne pouvant accueillir tous les étrangers qui désirent venir en Suisse, que ce soit pour des séjours de courte ou de longue durée, les autorités suisses peuvent légitimement appliquer une politique restrictive d'admission (cf. ATF 147 I 89 consid. 2.5, et la jurisprudence citée ; ATAF 2018 VII/5 consid. 3.1).</w:t>
      </w:r>
    </w:p>
    <w:p>
      <w:r>
        <w:rPr>
          <w:b/>
        </w:rPr>
        <w:t>E. 2.2</w:t>
      </w:r>
    </w:p>
    <w:p>
      <w:r>
        <w:t>La règlementation européenne reprise par la Suisse dans le cadre des accords d'association à Schengen (tels qu'énumérés à l'Annexe 1 ch. 1 de la LEI) ne garantit pas à une personne le droit d'entrer et/ou de séjourner dans un Etat dont elle n'est pas ressortissante, et il en va de même du droit suisse. En vertu d'un principe de droit international bien établi, les Etats ont en effet le droit de contrôler l'entrée et le séjour des non-nationaux (cf. ATF 144 I 91 consid. 4.2, 144 I 266 consid. 3.2, et la jurisprudence citée). Comme tous les autres Etats, la Suisse n'est donc en principe pas tenue d'autoriser l'entrée et le séjour de ressortissants étrangers sur son territoire. Sous réserve des obligations découlant du droit international, il s'agit d'une décision autonome (cf. Message LEtr, p. 3531 ch. 2.2 ad art. 3 ; ATAF 2018 VII/5 consid. 3.1, 2014/1 consid. 4.1.1, 2011/48 consid. 4.1 et 2009/27 consid. 3). La réglementation européenne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Ainsi que l'a souligné le Tribunal de céans, la réglementation Schengen ne confère, pas plus que la législation suisse, un droit à l'entrée dans l'Espace Schengen ou à l'octroi d'un visa (cf. ATAF 2018 VII/5 consid. 3.1, 2014/1 consid. 4.1.1 à 4.1.5, et 2011/48 consid. 4.1).</w:t>
      </w:r>
    </w:p>
    <w:p>
      <w:r>
        <w:rPr>
          <w:b/>
        </w:rPr>
        <w:t>E. 2.3</w:t>
      </w:r>
    </w:p>
    <w:p>
      <w:r>
        <w:t>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2.4</w:t>
      </w:r>
    </w:p>
    <w:p>
      <w:r>
        <w:t>Concernant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2.5</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2.6</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ressortissants afghans et turcs, les intéressés sont soumis à l'obligation de visa, conformément à l'annexe I du règlement (UE) 2018/1806 précité.</w:t>
      </w:r>
    </w:p>
    <w:p>
      <w:r>
        <w:rPr>
          <w:b/>
        </w:rPr>
        <w:t>E. 3.1</w:t>
      </w:r>
    </w:p>
    <w:p>
      <w:r>
        <w:t>Dans la décision querellée, l'autorité inférieure a motivé son refus d'octroi d'un visa par une garantie insuffisante de la sortie de l'Espace Schengen des intéressés. À l'appui de son analyse, le SEM s'est référé à la situation socio-économique et politique prévalant en Turquie et en Afghanistan ainsi qu'à la situation personnelle des requérants, à savoir deux personnes âgées sans emploi dont les moyens financiers propres n'étaient pas clairement établis, n'ayant pas invoqué d'attaches particulièrement étroites avec la Turquie qui leur imposeraient de retourner dans ce pays au terme de leur séjour. Le SEM a également relevé que tant la demande d'asile déposée en Suisse en 2014 par les requérants que celle pour un visa de long séjour dans le cadre d'un regroupement familial en 2018 avaient été rejetées. L'autorité inférieure a donc retenu qu'il ne saurait être exclu que les intéressés, une fois en Suisse, n'entreprennent des démarches en vue de prolonger leur séjour à l'échéance de leur visa dans l'espoir de trouver des conditions d'existence meilleures que celles qu'ils connaissent actuellement en Turquie.</w:t>
      </w:r>
    </w:p>
    <w:p>
      <w:r>
        <w:rPr>
          <w:b/>
        </w:rPr>
        <w:t>E. 3.2</w:t>
      </w:r>
    </w:p>
    <w:p>
      <w:r>
        <w:t>Le recourant a contesté cette appréciation en relevant que les requérants n'avaient aucune intention de s'établir en Suisse et qu'ils avaient suffisamment d'attaches en Turquie. Ainsi, ils avaient été naturalisés dans ce dernier pays où ils avaient investi dans un bien immobilier. En outre, leur fils et son épouse vivaient avec eux à Istanbul, ils recevaient une aide financière de la part de leurs enfants et menaient une vie paisible à Istanbul qu'ils ne souhaitaient pas changer. Sur un autre plan, le recourant a déclaré qu'il prendrait en charge les frais liés au voyage et au séjour en Suisse de ses invités. Il a ajouté que les requérants étaient prêts à fournir des garanties quant à leur retour, proposant même, à titre d'alternative dans le but de garantir le retour en Turquie, que le visa soit octroyé dans un premier temps à sa belle-mère et qu'une fois celle-ci de retour, il entreprendrait une nouvelle fois les démarches concernant son beau-père.</w:t>
      </w:r>
    </w:p>
    <w:p>
      <w:r>
        <w:rPr>
          <w:b/>
        </w:rPr>
        <w:t>E. 4.1</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4.2</w:t>
      </w:r>
    </w:p>
    <w:p>
      <w:r>
        <w:t>En l'espèce, on ne saurait de prime abord écarter les craintes de l'autorité intimée de voir les requérants prolonger leur séjour en Suisse ou dans l'Espace Schengen au-delà de la date d'échéance du visa sollicité. Lors de l'évaluation du critère de la garantie de la sortie de Suisse, il convient d'apprécier un comportement futur. A cet égard, la situation générale dans le pays d'origine des ressortissants d'un pays tiers peut fournir des indices dans l'établissement du pronostic quant au retour des invités dans leur pays d'origine à l'issue de leur séjour en Suisse. Une pratique plus stricte se justifie notamment pour les demandes d'entrée de personnes provenant d'Etats ou de régions où les conditions politiques, économiques et sociales sont défavorables, car l'expérience démontre que, dans de tels cas, les intérêts personnels ne concordent souvent pas avec le but et l'objectif d'une autorisation d'entrée limitée dans le temps (ATAF 2014/1 consid. 6.1). En regard de la situation en Turquie et en particulier de la situation économique, le Tribunal constate que le produit intérieur brut (PIB) par habitant est estimé à environ USD 11'930 en 2023 pour la Turquie et à environ USD 98'770 pour la Suisse (cf. site internet du Fonds monétaire international www.imf.org World Economic Outlook (April 2023) GDP per capita, current prices, consulté le 22 mai 2023). En outre, la Turquie connaît encore une situation économique difficile car le taux d'inflation, qui avait atteint son niveau record en 25 ans à 85,5 % sur un an au mois d'octobre 2022, ressortait encore à 50,51% sur un an en mars 2023 (cf. Le Temps : En hausse de 85,67%, l'inflation en Turquie atteint son niveau record en 25 ans, 3 novembre 2022, https://www.letemps.ch/economie/ hausse-8567-linflation-turquie-atteint-niveau-record-25-ans et Le Temps : A l'approche de l'élection présidentielle, la livre turque chute au plus bas niveau de son histoire, 19 avril 2023, https://www.letemps.ch/ economie/lapproche-lelection-presidentielle-livre-turque-chute-plus-bas-niveau-histoire, articles consultés le 22 mai 2023). S'agissant de la situation politique, le Tribunal relève que les tensions internes peuvent mener à des manifestations et des débordements. Les conflits armés dans les pays voisins, la Syrie et l'Irak, peuvent également avoir des répercussions sur les conditions de sécurité. Malgré le renforcement des mesures de sécurité, le risque d'attentats est réel dans tout le pays et à tout moment, surtout dans les grandes villes, telles qu'Istanbul précisément, ville de résidence des requérants (Cf. site internet du Département fédéral des affaires étrangères www.dfae.admin.ch Conseils aux voyageurs &amp; représentations Choisir un pays Türkiye Conseils aux voyageurs - Türkiye, consulté le 22 mai 2023). Sans oublier qu'à la veille du deuxième tour de l'élection présidentiel en Turquie, la situation politique reste incertaine (cf. Deutschlandfunk, Wahl in der Türkei 2023-Erdogan gegen Anti-Erdogan, 6 mai 2023, https://www.deutschland funk.de/praesidentschaftswahl-mai-tuerkei-erdogan-kilicdaroglu-100.html, consulté le 22 mai 2023). Pour ce qui a trait aux conditions sociales, il convient de relever que la Turquie se place en deuxième position des pays de provenance des personnes requérantes d'asile, totalisant 19,5% des demandes d'asile en Suisse en 2022 (cf. site internet du SEM www.sem.admin.ch Publications &amp; services Statistiques en matière d'asile Commentaire sur la statistique en matière d'asile 2022, consulté le 22 mai 2023). De plus, l'indice de développement humain (IDH) en 2021-2022 classe la Turquie en 48ème position en tenant compte de la santé, de l'éducation et du niveau de vie. La Suisse se place en revanche en 1ère position (cf. site internet des rapports sur le développement humain du Programme des Nations Unies pour le développement www.hdr.undp.org &gt; HDR 2021-2022 &gt; Download Human Development Report 2021-22, consulté le 22 mai 2023). Ainsi, force est de constater que les conditions de vie défavorables que connaît actuellement la Turquie et, en particulier, les disparités considérables existant entre ce pays et la Suisse (ou d'autres Etats de l'Espace Schengen) sur le plan socio-économique et politique ne sont pas sans exercer une forte pression migratoire, ainsi que l'autorité inférieure l'observe à juste titre dans sa décision. De telles circonstances ne sauraient plaider en faveur de la délivrance du visa convoité.</w:t>
      </w:r>
    </w:p>
    <w:p>
      <w:r>
        <w:rPr>
          <w:b/>
        </w:rPr>
        <w:t>E. 5.1</w:t>
      </w:r>
    </w:p>
    <w:p>
      <w:r>
        <w:t>Cependant, l'autorité ne peut se fonder sur la seule situation prévalant dans le pays de provenance de l'étranger pour conclure à l'absence de garantie quant à la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professionnelle des invités plaide en faveur de leur sortie ponctuelle de Suisse (ou de l'Espace Schengen), au terme du séjour envisagé.</w:t>
      </w:r>
    </w:p>
    <w:p>
      <w:r>
        <w:rPr>
          <w:b/>
        </w:rPr>
        <w:t>E. 5.2</w:t>
      </w:r>
    </w:p>
    <w:p>
      <w:r>
        <w:t>En l'espèce, il ne ressort pas du dossier que les requérants disposent de liens et d'obligations sociales ou familiales extraordinaires en Turquie. En effet, les requérants sont âgés de 79 ans, respectivement de 69 ans, sont retraités et sont installés en Turquie depuis un peu plus de quatre ans, autrement dit depuis la fin de l'année 2018 (au plus tôt) dès lors que leur lieu de résidence se situait en Afghanistan jusqu'au 1er août 2018 selon les éléments au dossier (cf. demande de visa pour long séjour datée du 1er août 2018 [pce SEM 5 p. 21 ss]). De plus, seul un des enfants des requérants réside en Turquie avec son épouse et les autres enfants se trouvent en Allemagne et en Suisse. Ainsi, si on ne saurait nier un certain enracinement familial des requérants en Turquie compte tenu de la présence de leur fils et de son épouse dans ce pays, les éléments susmentionnés ne permettent pas de conclure que les invités disposent dans leur pays de provenance d'obligations familiales ou sociales qui y rendraient leur présence impérative. En effet, leur fils est un adulte marié vis-à-vis duquel les requérants n'ont aucune obligation d'entretien. Dans ces circonstances, les requérants seraient donc a priori parfaitement à même de se créer une nouvelle existence hors de la Turquie sans que cela n'entraîne pour eux des difficultés particulières sur le plan familial.</w:t>
      </w:r>
    </w:p>
    <w:p>
      <w:r>
        <w:rPr>
          <w:b/>
        </w:rPr>
        <w:t>E. 5.3</w:t>
      </w:r>
    </w:p>
    <w:p>
      <w:r>
        <w:t>Sur le plan des attaches financières et patrimoniales en Turquie, le recourant a allégué que les requérants avaient investi dans un bien immobilier d'une valeur de 250'000.- USD à Istanbul dans lequel ils vivraient avec leur fils et son épouse. Le Tribunal relève toutefois qu'aucun justificatif, tel qu'un extrait du registre du commerce par exemple, n'a été fourni. De même, on ignore si le fils qui y vit avec les requérants détient une quelconque part dans cette propriété. Quoi qu'il en soit, il sied de tenir compte du fait que même la possession d'un bien immobilier n'offre pas une garantie suffisante au retour des intéressés en Turquie car en cas de migration, de tels biens ne seraient pas perdus (cf. arrêt du TAF F-4758/2018 du 14 avril 2020 consid. 6.3.2), cela d'autant plus qu'in casu le fils et son épouse y vivent également (cf. pce TAF 2). Enfin, il convient de relever que le recourant a indiqué qu'il prendrait en charge les frais de voyage et de subsistance des intéressés pendant leur séjour en Suisse et que les intéressés subvenaient à leurs besoins grâce à l'aide financière de leurs enfants (pce TAF 1). Le dossier ne permet donc pas de conclure que les intéressés vivent en Turquie dans des conditions économiques favorables ou privilégiées.</w:t>
      </w:r>
    </w:p>
    <w:p>
      <w:r>
        <w:rPr>
          <w:b/>
        </w:rPr>
        <w:t>E. 5.4</w:t>
      </w:r>
    </w:p>
    <w:p>
      <w:r>
        <w:t>À cela s'ajoute que les intéressés ont de la famille en Suisse pouvant faciliter leur immigration, en particulier leur fille et leur beau-fils (autrement dit le recourant), lequel jouit d'une situation financière confortable (cf. pce SEM 7, p. 86 ss), et un de leur fils établi à Zurich (pce SEM 5, p. 19). Or, comme l'expérience l'a démontré, la tendance migratoire est renforcée, lorsque les personnes concernées peuvent s'appuyer à l'étranger sur un réseau familial préexistant (cf. ATAF 2014/1 consid. 6.2.2, 2009/27 consid. 7).</w:t>
      </w:r>
    </w:p>
    <w:p>
      <w:r>
        <w:rPr>
          <w:b/>
        </w:rPr>
        <w:t>E. 5.5</w:t>
      </w:r>
    </w:p>
    <w:p>
      <w:r>
        <w:t>Le risque migratoire apparaît d'autant plus important in casu que les intéressés ont cherché à deux reprises par le passé à s'établir en Suisse, par le biais d'une procédure d'asile en 2014 et par le biais d'une procédure de regroupement familial en 2018. De surcroît, en dépit de la décision de non-entrée en matière sur leur demande d'asile et le prononcé de leur renvoi par l'ODM (actuellement le SEM), les intéressés ont persisté à séjourner illégalement en Suisse (cf. ordonnances pénales du 26 septembre 2014 et décisions d'interdiction datées du même jour, prononcées à l'encontre des requérants [pces SEM 1 à 3, étant précisé que la documentation relative à l'épouse figure au dossier digital du SEM mais n'a pas été numérotée]). Ces circonstances ne peuvent que renforcer les doutes ayant été émis quant à une sortie ponctuelle de l'Espace Schengen à l'échéance du visa sollicité. Dans ces conditions, la proposition alternative du recourant, selon laquelle le visa pourrait être octroyé dans un premier temps à sa belle-mère, et qu'une fois celle-ci de retour, il entreprendrait une nouvelle fois les démarches concernant son beau-père (cf. pce TAF 7), n'est pas susceptible d'apporter des garanties suffisantes.</w:t>
      </w:r>
    </w:p>
    <w:p>
      <w:r>
        <w:rPr>
          <w:b/>
        </w:rPr>
        <w:t>E. 5.6</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vivent des proches.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 toutes les assurances données par celles et ceux qui, résidant régulièrement sur le territoire helvétique, les avaient invités et s'étaient - en toute bonne foi - portés garants de leur départ ponctuel au terme du séjour envisagé. Dans ce contexte, les autorités suisses ont été amenées à adopter une politique d'admission restrictive. Pareilles considérations ne sont pas sans avoir une incidence sur l'appréciation du cas particulier.</w:t>
      </w:r>
    </w:p>
    <w:p>
      <w:r>
        <w:rPr>
          <w:b/>
        </w:rPr>
        <w:t>E. 5.7</w:t>
      </w:r>
    </w:p>
    <w:p>
      <w:r>
        <w:t>Au demeurant, il convient de relever qu'un refus d'autorisation d'entrée dans l'Espace Schengen prononcé par les autorités helvétiques n'a pas en l'occurrence pour conséquence d'empêcher les intéressés de se voir, dès lors que ceux-ci peuvent tout aussi bien se rencontrer hors de Suisse, le dossier ne faisant pas apparaître l'existence d'obstacles à ce propos. A cela s'ajoute que les contacts peuvent également être maintenus par d'autres moyens tels que la communication téléphonique, la correspondance et les visioconférences.</w:t>
      </w:r>
    </w:p>
    <w:p>
      <w:r>
        <w:rPr>
          <w:b/>
        </w:rPr>
        <w:t>E. 5.8</w:t>
      </w:r>
    </w:p>
    <w:p>
      <w:r>
        <w:t>Enfin, le Tribunal constate que le dossier ne fait pas apparaître l'existence de motifs susceptibles de justifier la délivrance d'un visa VTL (valable uniquement pour la Suisse) en faveur des intéressés.</w:t>
      </w:r>
    </w:p>
    <w:p>
      <w:r>
        <w:rPr>
          <w:b/>
        </w:rPr>
        <w:t>E. 6</w:t>
      </w:r>
    </w:p>
    <w:p>
      <w:r>
        <w:t>Compte tenu des considérants exposés ci-dessus, le Tribunal de céans estime qu'il ne saurait être reproché à l'instance inférieure d'avoir refusé la délivrance d'une autorisation d'entrée dans l'Espace Schengen en faveur des intéressés. Il s'ensuit que, par sa décision du 9 novembre 2021, l'autorité intimée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