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F-5321/2023 vom 21. Januar 2025</w:t>
      </w:r>
    </w:p>
    <w:p>
      <w:r>
        <w:t>Bundesverwaltungsgericht, 2025-01-21, DE</w:t>
      </w:r>
    </w:p>
    <w:p>
      <w:r>
        <w:rPr>
          <w:b/>
        </w:rPr>
        <w:t xml:space="preserve">Quelle: </w:t>
      </w:r>
      <w:r>
        <w:t>https://mcp.opencaselaw.ch/entscheid/bvger_F-5321_2023</w:t>
      </w:r>
    </w:p>
    <w:p>
      <w:r>
        <w:t>FR: TAF F-5321/2023 du 21 janvier 2025</w:t>
      </w:r>
    </w:p>
    <w:p>
      <w:r>
        <w:t>IT: TAF F-5321/2023 del 21 gennaio 2025</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zur Beschwerde legitimiert (Art. 48 Abs. 1 VwVG). Auf die im Übrigen frist- und formgerecht eingereichte Beschwerde ist einzutreten (Art. 50 Abs. 1 und Art. 52 Abs. 1 VwVG).</w:t>
      </w:r>
    </w:p>
    <w:p>
      <w:r>
        <w:t>F-5321/2023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am Willen der Ehegatten, die eheliche Gemeinschaft aufrecht zu erhalten, kön- nen sich unter anderem dann ergeben, wenn kurze Zeit nach der erleich- terten Einbürgerung die Trennung erfolgt oder die Scheidung eingeleitet wird (vgl. BGE 135 II 161 E. 2 m.H.; Urteil des BGer 1C_95/2023 vom 12. September 2023 E. 3.2). Gemäss Art. 10 Abs. 3 BüV muss die eheliche Gemeinschaft sowohl im Zeitpunkt der Gesuchstellung als auch im Zeit- punkt der Einbürgerung bestehen (vgl. BGE 140 II 65 E. 2.1 m.H.).</w:t>
      </w:r>
    </w:p>
    <w:p>
      <w:r>
        <w:rPr>
          <w:b/>
        </w:rPr>
        <w:t>E. 3.2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w:t>
      </w:r>
    </w:p>
    <w:p>
      <w:r>
        <w:t>F-5321/2023 Seite 5 erhebliche Tatsache zu informieren (siehe zum Ganzen BGE 140 II 65 E. 2.2 m.w.H.).</w:t>
      </w:r>
    </w:p>
    <w:p>
      <w:r>
        <w:rPr>
          <w:b/>
        </w:rPr>
        <w:t>E. 3.3</w:t>
      </w:r>
    </w:p>
    <w:p>
      <w:r>
        <w:t>Die Möglichkeit der Nichtigerklärung der erleichterten Einbürgerung geht durch Zeitablauf unter (Art. 36 Abs. 2 BüG; vgl. Urteil des BGer 1C_513/2023 vom 13. März 2024 E. 2.3). Vorliegend sind die Fristen ein- gehalten, womit die formellen Voraussetzungen für die Nichtigerklärung er- füllt sind.</w:t>
      </w:r>
    </w:p>
    <w:p>
      <w:r>
        <w:rPr>
          <w:b/>
        </w:rPr>
        <w:t>E. 4.1</w:t>
      </w:r>
    </w:p>
    <w:p>
      <w:r>
        <w:t>Im Verfahren betreffend Nichtigerklärung der erleichterten Einbürge- rung hat die Behörde zu untersuchen (vgl. Art. 12 VwVG), ob die Ehe im massgeblichen Zeitpunkt der Gesuchseinreichung und der Einbürgerung intakt und auf die Zukunft gerichtet war, wobei die eingebürgerte Person bei der Sachverhaltsabklärung mitwirkungspflichtig ist. Da die Nichtigerklä- 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(vgl. BGE 135 II 161 E. 3; 130 II 482 E. 3.2; Urteil des BGer 1C_30/2024 vom 6. Mai 2024 E. 3.4).</w:t>
      </w:r>
    </w:p>
    <w:p>
      <w:r>
        <w:rPr>
          <w:b/>
        </w:rPr>
        <w:t>E. 4.2</w:t>
      </w:r>
    </w:p>
    <w:p>
      <w:r>
        <w:t>Solche Wahrscheinlichkeitsfolgerungen, die aufgrund der Lebenser- fahrung gezogen werden, betreffen die Beweiswürdigung (vgl. Art. 19 VwVG i.V.m. Art. 40 BZP [SR 273]) und bewirken keine Umkehr der Be- weislast. Die betroffene Person muss daher nicht den Beweis des Gegen- teils erbringen, sondern kann die natürliche Vermutung bereits mit dem Ge- genbeweis zu Fall bringen. Hierfür muss sie Zweifel an der Richtigkeit der Vermutungsbasis und dem daraus gezogenen Schluss wecken. Dabei ge- nügt es, wenn sie einen Grund anführt, der es als plausibel erscheinen lässt, dass die Ehe im massgeblichen Zeitpunkt noch intakt war und sie die Behörde demzufolge nicht getäuscht hat. Bei diesem Grund kann es sich um ein ausserordentliches, nach der erleichterten Einbürgerung eingetre- 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w:t>
      </w:r>
    </w:p>
    <w:p>
      <w:r>
        <w:t>F-5321/2023 Seite 6 stabilen ehelichen Gemeinschaft zu leben (vgl. BGE 135 II 161 E. 3; 130 II 482 E. 3.2; Urteil des BGer 1C_513/2023 vom 13. März 2024 E. 2.4).</w:t>
      </w:r>
    </w:p>
    <w:p>
      <w:r>
        <w:rPr>
          <w:b/>
        </w:rPr>
        <w:t>E. 5.1</w:t>
      </w:r>
    </w:p>
    <w:p>
      <w:r>
        <w:t>Die Vorinstanz führt in ihrer Verfügung aus, der Beschwerdeführer habe den Nichtigkeitsgrund des Verheimlichens erheblicher Tatsachen im Sinne von Art. 36 Abs. 1 BüG gesetzt. Sechs bis sieben Monate nach der Einbürgerung habe eine emotionale Trennung der Ehegatten stattgefun- den. Am 25. Februar 2021 sei eine gemeinsame Scheidungsvereinbarung unterzeichnet worden, am 1. April 2021 habe die faktische Trennung statt- gefunden und am 9. April 2021 sei die Ehe geschieden worden. Der Grund für die Trennung sei die im Verlaufe der Jahre zunehmende Eifersucht der Ex-Ehefrau gewesen. Aufgrund der kurzen zeitlichen Verhältnisse zwi- schen Einbürgerung und Trennung/Scheidung bestehe die natürliche Ver- mutung, dass die Ehe bereits zum Zeitpunkt der Einbürgerung nicht mehr stabil gewesen sei. Die Eifersucht der Ex-Ehefrau habe bereits zum Zeit- punkt der Erklärung über die eheliche Gemeinschaft am 28. Januar 2020 bestanden und dies sei den Ehegatten bewusst gewesen. Sie hätten sich sodann bezüglich der Eifersuchtsproblematik keine professionelle Hilfe ge- sucht. Vielmehr sei die Ehe direkt und ohne weitere Versuche der Rettung getrennt worden, als die vorbestehenden Probleme zu gravierend gewor- den seien. Diese schnelle, alternativlose Trennung aus einer angeblich stabilen Ehe sei nicht nachvollziehbar. Die Ehegatten hätten keine ernst- haften Bemühungen gezeigt, die bestehenden Eheprobleme zu überwin- den. Bereits zum Zeitpunkt der erleichterten Einbürgerung habe damit keine stabile, intakte und auf die Zukunft gerichtete eheliche Gemeinschaft mehr vorgelegen. Indem der Beschwerdeführer in der gemeinsamen Er- klärung den Bestand einer solchen Ehe versicherte, habe er die Behörden über eine wesentliche Tatsache getäuscht und die erleichterte Einbürge- rung erschlichen.</w:t>
      </w:r>
    </w:p>
    <w:p>
      <w:r>
        <w:rPr>
          <w:b/>
        </w:rPr>
        <w:t>E. 5.2</w:t>
      </w:r>
    </w:p>
    <w:p>
      <w:r>
        <w:t>In der Rechtsmitteleingabe bestreitet der Beschwerdeführer den von der Vorinstanz geltend gemachten Nichtigkeitsgrund. Seine Ehe habe elf Jahre gedauert. Im Verlaufe der Jahre habe seine damalige Ehegattin im- mer stärkere Probleme mit Eifersucht entwickelt, welche progressiv und nicht linear zugenommen hätten. Dies habe schlussendlich dazu geführt, dass sie selbst bei harmlosen Vorkommnissen wie der Gewährung des Vortritts einer Fussgängerin grund- und haltlose Vorwürfe sowie Unterstel- lungen äusserte. Dieses extreme Ausmass der Eifersucht habe nicht be- reits zu Beginn der Beziehung vorgelegen, sondern sei erst kurz vor der Scheidung erreicht worden. Wahrheitsgemäss hätten beide Ehegatten</w:t>
      </w:r>
    </w:p>
    <w:p>
      <w:r>
        <w:t>F-5321/2023 Seite 7 bestätigt, am 28. Januar 2020 in einer tatsächlichen, ungetrennten und stabilen ehelichen Gemeinschaft an derselben Adresse zusammenzuleben und dass weder Trennungs- noch Scheidungsabsichten vorliegen würden. Die Scheidung sei im gegenseitigem Einvernehmen aufgrund der immer stärkeren Eifersucht seiner Ex-Ehefrau erfolgt. Erst nach der Einbürgerung habe diese Eifersucht das Mass des Erträglichen überschritten. Nicht an- gelastet werden könne ihm, dass seine Ex-Ehefrau keine Therapie habe besuchen wollen. Weiter macht er geltend, das SEM habe nach der Einlei- tung des vorliegenden Verfahrens und der ersten Stellungnahme am</w:t>
      </w:r>
    </w:p>
    <w:p>
      <w:r>
        <w:rPr>
          <w:b/>
        </w:rPr>
        <w:t>E. 6.1</w:t>
      </w:r>
    </w:p>
    <w:p>
      <w:r>
        <w:t>Unstrittig fest steht, dass der Beschwerdeführer nach achtjähriger Ehe am 26. Januar 2019 ein Gesuch um erleichterte Einbürgerung stellte und am 22. April 2020 erleichtert eingebürgert wurde. In diesem Zusammenhang gaben er und seine Ex-Ehefrau am 28. Januar 2020 die gemeinsame Erklärung ab, in einer tatsächlichen und stabilen Ehe zu leben und keine Trennungs- oder Scheidungsabsichten zu haben. Am 25. Februar 2021 unterzeichneten sie eine gemeinsame Scheidungsvereinbarung und am 15. Mai 2021 wurde die Ehe rechtskräftig geschieden.</w:t>
      </w:r>
    </w:p>
    <w:p>
      <w:r>
        <w:rPr>
          <w:b/>
        </w:rPr>
        <w:t>E. 6.2</w:t>
      </w:r>
    </w:p>
    <w:p>
      <w:r>
        <w:t>Angesichts der Zeitspanne von knapp zehn Monaten zwischen der erleichterten Einbürgerung des Beschwerdeführers und der Trennung der Ehegatten drängt sich ohne Weiteres die natürliche Vermutung auf, dass die Ehe des Beschwerdeführers zum Zeitpunkt der gemeinsamen Erklärung beziehungsweise der erleichterten Einbürgerung nicht (länger) intakt war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1C_466/2018 vom 15. Januar 2019 E. 5.3 m.H.).</w:t>
      </w:r>
    </w:p>
    <w:p>
      <w:r>
        <w:rPr>
          <w:b/>
        </w:rPr>
        <w:t>E. 6.3</w:t>
      </w:r>
    </w:p>
    <w:p>
      <w:r>
        <w:t>Die Vorbringen des Beschwerdeführers gegen diese Vermutung vermögen nicht zu überzeugen. Zunächst einmal macht er nicht geltend, dass es in seinem Fall nach der erleichterten Einbürgerung zu einem ausserordentlichen Ereignis gekommen sei, welches zum raschen Scheitern der vormals intakten Ehe geführt hätte (BGE 135 II 161 E. 3 m.H.). Vielmehr ist von einem schleichenden Zerrüttungsprozess der Ehe auszugehen, der bereits vor der erleichterten Einbürgerung eingesetzt hatte, was auch die Ex-Ehefrau in ihrer Befragung vom 12. April 2023 ausführte (vgl. SEM act. 17 Pkt. 26). Gemäss den Ausführungen des Beschwerdeführers und auch seiner Ex-Ehefrau habe bereits seit Beginn der Beziehung das Thema Eifersucht immer wieder zu Konflikten geführt (vgl. SEM act. 17 Pkt. 23 und 26). Auch die am 25. Februar 2021, knapp zehn Monate nach der erleichterten Einbürgerung abgeschlossene Scheidungsvereinbarung stellt ein gewichtiges Indiz für einen fortgeschrittenen Zerrüttungsprozess dar. Gemäss den Ausführungen der Ex-Ehefrau sei der Entscheid zur Trennung bereits im September 2020 anlässlich eines gemeinsamen Gesprächs gefallen (SEM act. 17 Pkt. 18), und somit nur fünf Monate nach der Einbürgerung. Daher ist das Vorbringen in der Beschwerdeschrift, die Eifersucht seiner Ex-Ehefrau sei erst nach der Einbürgerung unerträglich geworden, als nicht stichhaltig zu qualifizieren. Aus dem Umstand, dass die Parteien bis heute in einem guten Verhältnis zueinander stünden, kann er sodann nichts zu seinen Gunsten ableiten; die erleichterte Einbürgerung verlangt, dass die Beziehung nicht in beliebiger Form, sondern als Ehe weiterzuführen ist (Urteil des BVGer F-5601/2016 vom 22. März 2018 E. 12.3 m.H.). Vom Beschwerdeführer wurde weder geltend gemacht noch ist aus den Akten ersichtlich, dass Versuche unternommen worden wären, um die Ehe zu retten. Nach einer Ehedauer von rund elf Jahren wäre zumindest zu erwarten gewesen, dass sich die Ehegatten nachweisbar um den Erhalt derselben bemühen würden, wäre diese nicht bereits zuvor zerrüttet gewesen. Die Ex-Ehefrau führte diesbezüglich an, es sei ihrem Ehemann jeweils gelungen, sie wieder zu beruhigen. Sie habe deshalb keine Notwendigkeit gesehen, eine professionelle Therapie in Anspruch zu nehmen, wie sie es vermutlich hätte tun sollen (vgl. SEM act. 17 Pkt. 22 f.). Es ist vor diesem Hintergrund davon auszugehen, dass die Ehe des Beschwerdeführers schon vor der Einbürgerung vorbelastet und weder stabil noch zukunftsgerichtet war.</w:t>
      </w:r>
    </w:p>
    <w:p>
      <w:r>
        <w:rPr>
          <w:b/>
        </w:rPr>
        <w:t>E. 7</w:t>
      </w:r>
    </w:p>
    <w:p>
      <w:r>
        <w:t>Nach dem Gesagten ist es dem Beschwerdeführer nicht gelungen, eine plausible Alternative zur dargestellten Vermutungsfolge zu präsentieren und damit die gegen ihn sprechende tatsächliche Vermutung in Frage zu stellen, wonach er und seine Ex-Ehefrau bereits im Zeitpunkt der Unter- zeichnung der gemeinsamen Erklärung und der erleichterten Einbürgerung nicht (mehr) in einer tatsächlichen und stabilen ehelichen Gemeinschaft lebten. Die Vorinstanz hat daher zu Recht erwogen, die erleichterte Einbür- gerung im Sinne von Art. 36 Abs. 1 BüG sei durch den Beschwerdeführer</w:t>
      </w:r>
    </w:p>
    <w:p>
      <w:r>
        <w:t>F-5321/2023 Seite 9 mittels Verheimlichens erheblicher Tatsachen erschlichen worden. Damit sind die materiellen Voraussetzungen für die Nichtigerklärung der erleich- terten Einbürgerung erfüllt. Entgegen der Ansicht des Beschwerdeführers erweist sich die vorinstanzliche Verfahrensdauer von 21 Monaten nicht als unangemessen lang, wurde sie doch massgeblich durch die zu tätigenden Abklärungen beeinflusst.</w:t>
      </w:r>
    </w:p>
    <w:p>
      <w:r>
        <w:rPr>
          <w:b/>
        </w:rPr>
        <w:t>E. 8</w:t>
      </w:r>
    </w:p>
    <w:p>
      <w:r>
        <w:t>Gemäss Art. 36 Abs. 4 BüG erstreckt sich die Nichtigkeit auch auf alle Kin- der, deren Schweizer Bürgerrecht auf der nichtig erklärten Einbürgerung beruht. Ausgenommen sind Kinder, die im Zeitpunkt des Entscheides über die Nichtigerklärung das 16. Altersjahr vollendet haben sowie die Wohn- sitzerfordernisse nach Art. 9 und die Eignungsvoraussetzungen nach Art.</w:t>
      </w:r>
    </w:p>
    <w:p>
      <w:r>
        <w:rPr>
          <w:b/>
        </w:rPr>
        <w:t>E. 9</w:t>
      </w:r>
    </w:p>
    <w:p>
      <w:r>
        <w:t>Aus diesen Darlegungen folgt, dass die angefochtene Verfügung im Lichte von Art. 49 VwVG nicht zu beanstanden ist. Die Beschwerde ist daher abzuweisen.</w:t>
      </w:r>
    </w:p>
    <w:p>
      <w:r>
        <w:rPr>
          <w:b/>
        </w:rPr>
        <w:t>E. 10</w:t>
      </w:r>
    </w:p>
    <w:p>
      <w:r>
        <w:t>Bei diesem Ausgang des Verfahrens wären die Kosten dem Beschwerdeführer aufzuerlegen (Art. 63 Abs. 1 VwVG). Zufolge der gewährten unentgeltlichen Prozessführung ist jedoch auf die Erhebung von Verfahrenskosten zu verzichten. (Dispositiv nächste Seite)</w:t>
      </w:r>
    </w:p>
    <w:p>
      <w:r>
        <w:rPr>
          <w:b/>
        </w:rPr>
        <w:t>E. 11</w:t>
      </w:r>
    </w:p>
    <w:p>
      <w:r>
        <w:t>erfüllen (Bst. a) oder durch die Nichtigerklärung staatenlos würden (Bst. b). Nicht zu beanstanden ist damit die Nichtigerklärung der Einbürgerung der 18 Monate alten Tochter des Beschwerdeführers aus zweiter Ehe. Gründe, die es rechtfertigen würden, sie von den Wirkungen der Nichtiger- klärung auszunehmen, ergeben sich weder aus den Akten noch werden solche geltend gemacht. Es ist insbesondere davon auszugehen, dass die Tochter weiterhin über die Staatsangehörigkeit Albaniens bzw. der Türkei verfügt, weshalb ihr keine Staatenlosigkeit droht (BVGE 2020 VII/6 E. 12 m.H. auf Art. 36 Abs. 4 BüG). 9. Aus diesen Darlegungen folgt, dass die angefochtene Verfügung im Lichte von Art. 49 VwVG nicht zu beanstanden ist. Die Beschwerde ist daher ab- zuweisen. 10. Bei diesem Ausgang des Verfahrens wären die Kosten dem Beschwerde- führer aufzuerlegen (Art. 63 Abs. 1 VwVG). Zufolge der gewährten unent- geltlichen Prozessführung ist jedoch auf die Erhebung von Verfahrenskos- ten zu verzichten. (Dispositiv nächste Seite)</w:t>
      </w:r>
    </w:p>
    <w:p>
      <w:r>
        <w:t>F-5321/2023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