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F-531/2025 vom 29. Januar 2025</w:t>
      </w:r>
    </w:p>
    <w:p>
      <w:r>
        <w:t>Bundesverwaltungsgericht, 2025-01-29, DE</w:t>
      </w:r>
    </w:p>
    <w:p>
      <w:r>
        <w:rPr>
          <w:b/>
        </w:rPr>
        <w:t xml:space="preserve">Quelle: </w:t>
      </w:r>
      <w:r>
        <w:t>https://mcp.opencaselaw.ch/entscheid/bvger_F-531_2025</w:t>
      </w:r>
    </w:p>
    <w:p>
      <w:r>
        <w:t>FR: TAF F-531/2025 du 29 janvier 2025</w:t>
      </w:r>
    </w:p>
    <w:p>
      <w:r>
        <w:t>IT: TAF F-531/2025 del 29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zuständig (Art. 105 AsylG i.V.m. Art. 31 VGG) und die Sachurteilsvoraussetzungen sind erfüllt, sodass auf die Beschwerde einzutreten ist (Art. 48 Abs. 1 VwVG, Art. 108 Abs. 3 AsylG und Art. 52 Abs. 1 VwVG). Das Gericht entscheidet über diese endgültig (vgl.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2.2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2.3</w:t>
      </w:r>
    </w:p>
    <w:p>
      <w:r>
        <w:t>Im Falle eines unbegleiteten Minderjährigen ohne familiäre Anknüpfungspunkte (zu einem anderen Mitgliedstaat) ist gemäss Art. 8 Abs. 4 Dublin-III-VO der Staat zuständig, in welchem er seinen Antrag gestellt hat. Diese Bestimmung begründet eine vorrangige Zuständigkeit der Schweiz (Art. 7 Abs. 1 Dublin-III-VO), da unbegleitete Minderjährige vom Wiederaufnahmeverfahren ausgenommen sind (vgl. z.B. Urteil des BVGer E-6348/2023 vom 24. November 2023 E. 4.4 m.w.H.).</w:t>
      </w:r>
    </w:p>
    <w:p>
      <w:r>
        <w:rPr>
          <w:b/>
        </w:rPr>
        <w:t>E. 2.4</w:t>
      </w:r>
    </w:p>
    <w:p>
      <w:r>
        <w:t>Die Minderjährigkeit ist vom Betroffenen - der allgemeinen asylrechtlichen Beweisregel folgend - zumindest glaubhaft zu machen (vgl. Art. 7 AsylG, BVGE 2023 VI/4 E. 6.3; vgl. bereits Entscheidungen und Mitteilungen der Asylrekurskommission [EMARK] 2004 Nr. 31 E. 5, 6.2 und 7.3; 2004 Nr. 30 E. 5-6; 2001 Nr. 23 E. 6c; 2000 Nr. 19 E. 8b). Seitens der Asylbehörden ist im Rahmen einer Gesamtwürdigung eine Abwägung sämtlicher Anhaltspunkte vorzunehmen, die für oder gegen die Richtigkeit der betreffenden Altersangaben sprechen. Wesentlich sind dabei für echt befundene Identitätspapiere oder eigene Angaben der betroffenen Person (vgl. Urteil des BVGer E-4931/2014 vom 21. Januar 2015 E. 5.1.1 m.H.a. EMARK 2004 Nr. 30).</w:t>
      </w:r>
    </w:p>
    <w:p>
      <w:r>
        <w:rPr>
          <w:b/>
        </w:rPr>
        <w:t>E. 2.5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2.6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2.7</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3.1</w:t>
      </w:r>
    </w:p>
    <w:p>
      <w:r>
        <w:t>Die Vorinstanz hat korrekt erwogen, dass der Beschwerdeführer bei seinen vier Asylgesuchen vier unterschiedliche, sich widersprechende Angaben zu seinem Geburtsdatum gemacht hat (Schweiz: [...] und [...]; Deutschland: [...]; Österreich und Frankreich: [...]) und er seine unterschriftlich bestätigten Angaben gegen sich gelten lassen muss. Daran ändert auch nichts, wenn er im vorliegenden Verfahren ohne weitere Substantiierung geltend macht, in den anderen Dublin-Staaten nicht nach seinem Geburtsdatum gefragt worden zu sein. Weiter hat die Vorinstanz unter Verweis auf die Rechtsprechung des Bundesverwaltungsgerichts hinsichtlich seines Alters korrekt erwogen, dass er in der Gesamtbeurteilung seine Minderjährigkeit nicht im Sinne von Art. 7 AsylG nachgewiesen oder glaubhaft gemacht hat. Der Beschwerdeführer hat keine rechtsgenüglichen Identitätspapiere eingereicht, welche seine Minderjährigkeit belegen würden. Die Angaben zu seinem Alter und Geburtsdatum während der EB UMA wirken konstruiert und legen die Vermutung nahe, dass er beabsichtigte, die Vorinstanz über sein wahres Geburtsdatum und Alter zu täuschen. Trotz entsprechender Ankündigung hat er das Original seiner Tazkira bis zum heutigen Zeitpunkt nicht eingereicht. Entgegen seiner Behauptung, geht auch aus der während der EB UMA in Kopie eingereichten Tazkira, gemäss welcher er zum Zeitpunkt der Ausstellung am 10. April 2020 dem Erscheinungsbild nach 12-jährig gewesen sei, kein genaues Alter oder Geburtsdatum hervor. Im Übrigen ist gerichtsnotorisch, dass es sich bei den Altersdaten in afghanischen Tazkiras regelhaft um Schätzungen handelt, die auf Parteiangaben basieren. In Österreich war ein Altersgutachten geplant, der Beschwerdeführer hat sich diesem jedoch durch sein Untertauchen entzogen (SEM-act. 15/2). Zusammenfassend kann mit der Vorinstanz festgehalten werden, dass die Aussagen des Beschwerdeführers kein Indiz für seine Minderjährigkeit darzustellen vermögen, da es ihnen an der erforderlichen Detailliertheit und Widerspruchsfreiheit fehlt. Mit seinen Registrierungen als Volljähriger in Deutschland, Österreich und Frankreich liegt indessen ein starkes Indiz für seine Volljährigkeit vor (vgl. Urteil des BVGer E-2342/2023 vom 5. Mai 2023 E. 6.7). Die Vorinstanz verzichtete folglich zu Recht auf die Durchführung eines Altersgutachtens, ging zutreffend von der Volljährigkeit des Beschwerdeführers aus und verneinte eine vorrangige Zuständigkeit der Schweiz gestützt auf Art. 8 Abs. 4 Dublin-III-VO. Bezeichnenderweise macht der Beschwerdeführer auf Beschwerdeebene auch nicht mehr geltend, minderjährig zu sein. Zudem hat die Vorinstanz korrekt erwogen, dass gemäss Art. 18 Abs. 1 Bst. d Dublin-III-VO (negativer Asylentscheid) grundsätzlich Frankreich für die Behandlung des Asylgesuchs des Beschwerdeführers zuständig ist, auch wenn das dortige Asylverfahren bereits rechtskräftig abgeschlossen ist, dass das französische Asylsystem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Mit der Vor-instanz ist davon auszugehen, dass der Beschwerdeführer bei einer Überstellung keinen gravierenden Menschenrechtsverletzungen im Sinne von Art. 3 EMRK ausgesetzt oder unter Verletzung des Non-Refoulement-Gebots in seinen Heimatsstaat überstellt würde, und dass keine konkreten Hinweise dafür vorliegen, dass er bei einer Rückkehr nach Frankreich in eine existenzielle Notlage geraten würde. Darüber hinaus hat die Vorin-stanz in rechtsfehlerfreier Ausübung des ihr nach Art. 17 Abs. 1 Dublin-III-VO und Art. 29a Abs. 3 AsylV 1 zukommenden Ermessens von einem freiwilligen Selbsteintritt der Schweiz abgesehen. Sie hat den Gesundheitszustand des Beschwerdeführers hinreichend abgeklärt und korrekt dahingehend gewürdigt, dass eine Rückweisung auch in dieser Hinsicht nicht gegen Art. 3 EMRK verstösst. Er hat gemäss Aktenlage sowie eigenen Angaben denn auch keine ausstehenden Arzttermine. Sie ist demnach zu Recht in Anwendung von Art. 31a Abs. 1 Bst. b AsylG auf das Asylgesuch des Beschwerdeführers nicht eingetreten und hat in Anwendung von Art. 44 AsylG seine Wegweisung nach Frankreich angeordnet. Zur näheren Begründung wird auf die korrekten vorinstanzlichen Erwägungen verwiesen.</w:t>
      </w:r>
    </w:p>
    <w:p>
      <w:r>
        <w:rPr>
          <w:b/>
        </w:rPr>
        <w:t>E. 3.2</w:t>
      </w:r>
    </w:p>
    <w:p>
      <w:r>
        <w:t>Wenn der Beschwerdeführer auf Rechtsmittelebene unsubstantiiert vorbringt, in Frankreich werde ihm nicht geholfen, er bekomme keine Unterstützung und medizinische Hilfe und müsse auf der Strasse leben, vermag dies an der Richtigkeit der vorinstanzlichen Verfügung nichts zu ändern. Mangels systemischer Mängel im Sinne von Art. 3 Abs. 2 Dublin-III-VO kann davon ausgegangen werden, dass Frankreich seinen völker- und gemeinschaftsrechtlichen Verpflichtungen gegenüber Personen in der Situation des Beschwerdeführers nachkommt und insbesondere auch die Rechte respektiert und schützt, die sich aus der sogenannten Verfahrens- und Aufnahmerichtlinie ergeben (Urteile des BVGer F-150/2025 vom 24. Januar 2025 E. 3.2.3; E-7520/2024 vom 6. Dezember 2024 E. 6.3; D-4452/2023 vom 8. Februar 2024 E. 14.2). Seine unsubstantiierten Vorbringen führen nicht zur Annahme, dass die von ihm bei einer Rückführung nach Frankreich zu erwartenden Bedingungen derart schlecht wären, dass sie zu einer Verletzung von Art. 3 EMRK führen könnten, oder ihm die allenfalls benötigte medizinische Versorgung verweigert würde. Bei allfälligen vorübergehenden Einschränkungen kann sich der Beschwerdeführer an die französischen Behörden wenden und seine Rechte auf dem Rechtsweg einfordern (vgl. Art. 26 Aufnahmerichtlinie).</w:t>
      </w:r>
    </w:p>
    <w:p>
      <w:r>
        <w:rPr>
          <w:b/>
        </w:rPr>
        <w:t>E. 4</w:t>
      </w:r>
    </w:p>
    <w:p>
      <w:r>
        <w:t>Nach dem Gesagten kann der Vorinstanz auch nicht vorgeworfen werden, den rechtserheblichen Sachverhalt unvollständig festgestellt zu haben, weshalb der entsprechende Eventualantrag auf Rückweisung der Sache an die Vorinstanz abzuweisen ist. Ebenso wenig besteht Anlass, die Vorinstanz anzuweisen, von den französischen Behörden individuelle Zusicherungen im Sinne des Subeventualantrags einzuholen, weshalb auch das entsprechende Subeventualbegehren abzuweisen ist.</w:t>
      </w:r>
    </w:p>
    <w:p>
      <w:r>
        <w:rPr>
          <w:b/>
        </w:rPr>
        <w:t>E. 5</w:t>
      </w:r>
    </w:p>
    <w:p>
      <w:r>
        <w:t>Mit vorliegendem Urteil wird der Antrag auf Gewährung der aufschiebenden Wirkung gegenstandslos und fällt der am 27. Januar 2025 angeordnete Vollzugsstopp dahin.</w:t>
      </w:r>
    </w:p>
    <w:p>
      <w:r>
        <w:rPr>
          <w:b/>
        </w:rPr>
        <w:t>E. 6</w:t>
      </w:r>
    </w:p>
    <w:p>
      <w:r>
        <w:t>Das Gesuch um Gewährung der unentgeltlichen Rechtspflege ist abzuweisen, da die Begehren - wie sich aus den vorstehenden Erwägungen ergibt - als aussichtlos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