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F-5318/2021 vom 9. Mai 2022</w:t>
      </w:r>
    </w:p>
    <w:p>
      <w:r>
        <w:t>Bundesverwaltungsgericht, 2022-05-09, FR</w:t>
      </w:r>
    </w:p>
    <w:p>
      <w:r>
        <w:rPr>
          <w:b/>
        </w:rPr>
        <w:t xml:space="preserve">Quelle: </w:t>
      </w:r>
      <w:r>
        <w:t>https://mcp.opencaselaw.ch/entscheid/bvger_F-5318_2021</w:t>
      </w:r>
    </w:p>
    <w:p>
      <w:r>
        <w:t>FR: TAF F-5318/2021 du 9 mai 2022</w:t>
      </w:r>
    </w:p>
    <w:p>
      <w:r>
        <w:t>IT: TAF F-5318/2021 del 9 maggio 2022</w:t>
      </w:r>
    </w:p>
    <w:p>
      <w:pPr>
        <w:pStyle w:val="Heading2"/>
      </w:pPr>
      <w:r>
        <w:t>Regeste</w:t>
      </w:r>
    </w:p>
    <w:p>
      <w:r>
        <w:t>Interdiction d'entrée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Compte tenu de ce qui précède, l'autorité inférieure, en rendant sa décision du 19 octobre 2021 , n'a ni violé le droit fédéral, ni constaté des faits pertinents de manière inexacte ou incomplète ; en outre, cette décision n'est pas inopportune (art. 49 PA). En conséquence, le recours est rejeté.</w:t>
      </w:r>
    </w:p>
    <w:p>
      <w:r>
        <w:rPr>
          <w:b/>
        </w:rPr>
        <w:t>E. 8</w:t>
      </w:r>
    </w:p>
    <w:p>
      <w:r>
        <w:t>Vu l'issue de la cause, il y a lieu de mettre les frais de procédure à la charge du recourant, conformément à l'art. 63 al. 1 PA en relation avec les art. 1 à 3 du règlement du 21 février 2008 concernant les frais, dépens et indemnités fixés par le Tribunal administratif fédéral (FITAF, RS 173.320.2). Le recourant n'a, par ailleurs, pas droit à des dépens (art. 64 al. 1 PA a contrario et art. 7 al. 1 FITAF).</w:t>
      </w:r>
    </w:p>
    <w:p>
      <w:r>
        <w:rPr>
          <w:b/>
        </w:rPr>
        <w:t>E. 9</w:t>
      </w:r>
    </w:p>
    <w:p>
      <w:r>
        <w:t>Pour des raisons d'économie de procédure, il convient enfin de porter à la connaissance de l'autorité inférieure une copie des observations du recourant du 20 avril 2022, en même temps que survient la présente notification. (dispositif -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