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F-530/2021 vom 11. Juni 2021</w:t>
      </w:r>
    </w:p>
    <w:p>
      <w:r>
        <w:t>Bundesverwaltungsgericht, 2021-06-11, FR</w:t>
      </w:r>
    </w:p>
    <w:p>
      <w:r>
        <w:rPr>
          <w:b/>
        </w:rPr>
        <w:t xml:space="preserve">Quelle: </w:t>
      </w:r>
      <w:r>
        <w:t>https://mcp.opencaselaw.ch/entscheid/bvger_F-530_2021</w:t>
      </w:r>
    </w:p>
    <w:p>
      <w:r>
        <w:t>FR: TAF F-530/2021 du 11 juin 2021</w:t>
      </w:r>
    </w:p>
    <w:p>
      <w:r>
        <w:t>IT: TAF F-530/2021 del 11 giugno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Le recourant s'est prévalu, d'une violation de la maxime inquisitoire (pour défaut d'instruction), ainsi que d'une violation du droit d'être entendu (pour défaut de motivation) et il convient ainsi d'examiner d'abord le bien-fondé de ces griefs d'ordre formel (dans le même sens, cf. notamment ATF 138 I 232 consid. 5.1, voir également l'arrêt du TAF F-2210/2019 du 15 mai 2019 consid. 2).</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lorsque toutes les circonstances de fait et les moyens de preuve déterminants pour la décision n'ont pas été pris en compte par l'autorité inférieure (cf. notamment ATAF 2014/2 consid. 5.1 et 2012/21 consid. 5.1). En l'occurrence, le recourant reproche au SEM de ne pas avoir procédé à des mesures d'instruction complémentaires au sujet de son état de santé psychique et de son lien de dépendance avec sa soeur résidant en Suisse.</w:t>
      </w:r>
    </w:p>
    <w:p>
      <w:r>
        <w:rPr>
          <w:b/>
        </w:rPr>
        <w:t>E. 2.2</w:t>
      </w:r>
    </w:p>
    <w:p>
      <w:r>
        <w:t>Force est de constater en premier lieu que, lorsque l'autorité de première instance a rendu la décision attaquée, les troubles psychiques dont souffre l'intéressé et les traitements dont il avait fait l'objet en Suisse ressortaient de manière circonstanciée des pièces figurant au dossier (qui comportait alors 22 pièces médicales, mentionnées à la lettre F ci-dessus) et que l'autorité inférieure disposait ainsi de suffisamment d'informations sur son état de santé et l'évolution de celui-ci pour se déterminer à ce sujet. Cela étant, au regard des multiples rapports médicaux et des journaux de soins produits, ainsi que de la situation du recourant telle qu'elle se présentait alors, le Tribunal considère que le SEM a correctement pris en compte et examiné l'état de santé du recourant à la date de sa décision. Les mêmes remarques s'imposent au sujet de la question du lien de dépendance du recourant avec sa soeur, laquelle a été également été examinée de manière circonstanciée par le SEM en page 12 de la décision attaquée. En conséquence, le grief tiré d'une violation de la maxime inquisitoire doit être écarté.</w:t>
      </w:r>
    </w:p>
    <w:p>
      <w:r>
        <w:rPr>
          <w:b/>
        </w:rPr>
        <w:t>E. 2.3</w:t>
      </w:r>
    </w:p>
    <w:p>
      <w:r>
        <w:t>Il convient encore d'examiner si le SEM a rendu la décision querellée en violation du droit d'être entendu du recourant.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l'espèce, le Tribunal constate que le SEM a analysé de manière suffisamment détaillée les problèmes de santé invoqués par le recourant et qu'il s'est également prononcé de manière détaillée sur l'existence d'un éventuel lien de dépendance susceptible de justifier une entrée en matière sur sa demande d'asile. En conséquence, le Tribunal considère que la motivation de la décision attaquée est suffisante, dès lors qu'elle mentionne tous les éléments pertinents pour l'issue de la cause et que l'intéressé a été en mesure de comprendre la portée de la décision litigieuse et de l'attaquer en connaissance de cause. Il s'ensuit que le grief tiré d'une violation du droit d'être entendu est également infondé.</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3.4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3.5</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w:t>
      </w:r>
    </w:p>
    <w:p>
      <w:r>
        <w:rPr>
          <w:b/>
        </w:rPr>
        <w:t>E. 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4.2</w:t>
      </w:r>
    </w:p>
    <w:p>
      <w:r>
        <w:t>Il peut également admettre cette responsabilité pour des raisons humanitaires au sens de l'art. 29a al. 3 OA 1 (cf. à ce sujet ATAF 2015/9 consid. 8.2.2 et 2012/4 consid. 2.4 in fine et les références citées).</w:t>
      </w:r>
    </w:p>
    <w:p>
      <w:r>
        <w:rPr>
          <w:b/>
        </w:rPr>
        <w:t>E. 4.2.1</w:t>
      </w:r>
    </w:p>
    <w:p>
      <w:r>
        <w:t>Dans le cas particulier, le recourant fait principalement valoir que son état de santé et sa vulnérabilité psychologique constituent des éléments importants pour l'examen des obstacles liés à son transfert en Suède et que le SEM aurait dû les prendre en compte sous l'angle de l'art. 29a al. 3 OA 1, en corrélation avec l'art. 17 al. 1 du règlement Dublin III.</w:t>
      </w:r>
    </w:p>
    <w:p>
      <w:r>
        <w:rPr>
          <w:b/>
        </w:rPr>
        <w:t>E. 4.2.2</w:t>
      </w:r>
    </w:p>
    <w:p>
      <w:r>
        <w:t>Selon l'art. 29a al. 3 OA 1, le SEM peut entrer en matière sur une demande d'asile pour des « raisons humanitaires », même si un autre Etat est responsable. Comme l'a retenu la jurisprudence, la formulation potestative de l'art. 29a al. 3 OA 1 (« Kann-Vorschrift ») est le résultat de la volonté du législateur de ne pas définir précisément les cas dans lesquels le SEM doit appliquer la clause de souveraineté (cf. ATAF 2015/9 consid. 7.5). L'autorité de première instance dispose par conséquent d'un réel pouvoir d'appréciation (« Ermessen » ou « Entscheidungsspielraum ») en vue de déterminer s'il existe des raisons humanitaires justifiant d'entrer en matière sur une demande d'asile, alors qu'un autre Etat serait responsable pour la traiter.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w:t>
      </w:r>
    </w:p>
    <w:p>
      <w:r>
        <w:rPr>
          <w:b/>
        </w:rPr>
        <w:t>E. 4.3</w:t>
      </w:r>
    </w:p>
    <w:p>
      <w:r>
        <w:t>Il convient toutefois de relever ici que, dans une procédure Dublin, il n'appartient pas au SEM d'analyser la légitimité des décisions prises en matière d'asile par d'autres Etats parties au système Dublin, dès lors qu'un tel examen dépasserait l'objet d'une procédure Dublin qui se limite, en principe, à la détermination de l'Etat membre responsable pour l'examen de la demande d'asile et l'exécution du renvoi (cf. arrêt du TAF F-2210/2019 du 15 mai 2019 consid. 2.1) et que l'ordre juridique interne des Etats parties au système Dublin prévoit des voies de droit adéquates pour contester les décisions rendues en matière d'asile. Dans ce contexte, les arguments du recourant selon lesquels les autorités suédoises n'avaient pas examiné correctement les risques auxquels il était exposé en cas de retour en Afghanistan ne sont pas pertinents à remettre en cause son transfert en Suède en application du Règlement Dublin III. Il apparaît à cet égard que le recourant a admis avoir utilisé en Suède les voies de droit à sa disposition pour contester la décision rendue sur sa demande d'asile, mais se plaint de l'issue négative de ses démarches. Rien ne permet toutefois de retenir que la Suède n'aurait pas procédé à un examen correct de le demande d'asile de l'intéressé. Il convient de rappeler ici qu'aucun élément fondé n'indique que les conditions d'accueil des demandeurs d'asile en Suède puissent être considérées comme des traitements inhumain ou dégradant au sens de l'art. 4 de la CharteUE, ce pays étant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Dans ces conditions, cet Etat est présumé respecter la sécurité des demandeurs d'asile et, en particulier, leur droit à l'examen, selon une procédure juste et équitable, de leur demande, et leur garantir une protection conforme au droit international et au droit européen applicable et il n'y a pas lieu de considérer que la Suède connaîtrait des défaillances systémiques au sens de l'art. 3 par. 2 al. 2 du règlement Dublin III. Il s'impose de souligner enfin qu'il ne saurait être entré en matière sur le grief de l'intéressé contestant la manière dont la Suède motive ses décisions prononçant le renvoi des requérants d'asile vers l'Afghanistan, dès lors qu'il n'appartient pas aux autorités suisses de revêtir le rôle d'une instance de recours pour juger du bien-fondé de telles décisions.</w:t>
      </w:r>
    </w:p>
    <w:p>
      <w:r>
        <w:rPr>
          <w:b/>
        </w:rPr>
        <w:t>E. 5.1</w:t>
      </w:r>
    </w:p>
    <w:p>
      <w:r>
        <w:t>Selon l'art. 16 du règlement Dublin III, lorsque, du fait notamment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En outre, si une desdites personnes résidant légalement dans un Etat membre dépend de l'assistance du demandeur, l'Etat responsable est en principe celui dans lequel réside le membre de la famille.</w:t>
      </w:r>
    </w:p>
    <w:p>
      <w:r>
        <w:rPr>
          <w:b/>
        </w:rPr>
        <w:t>E. 5.2</w:t>
      </w:r>
    </w:p>
    <w:p>
      <w:r>
        <w:t>L'art. 16 par. 1 du règlement Dublin III est directement applicable, et par conséquent justiciable devant le Tribunal (cf. ATAF 2017 VI/5 consid. 8.3.2 et la jurisprudence citée). Il ressort de la formulation de l'art. 16 par. 1 du règlement Dublin III que la situation de dépendance pour des motifs médicaux suppose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et les arrêts du TAF F-866/2020 du 21 février 2020 consid. 6.1 et F-1137/2020 du 4 mars 2020 consid. 6.2.1 et les références citées). Aussi, la seule nécessité d'un soutien affectif, voire psychologique, n'est pas de nature à fonder le lien de dépendance requis par l'art. 16 par. 1 du règlement Dublin III (cf. ATAF 2017 VI/5 consid. 8.3.5).</w:t>
      </w:r>
    </w:p>
    <w:p>
      <w:r>
        <w:rPr>
          <w:b/>
        </w:rPr>
        <w:t>E. 5.3</w:t>
      </w:r>
    </w:p>
    <w:p>
      <w:r>
        <w:t>En l'espèce, le Tribunal constate que le recourant souffre d'un état dépressif sévère sans symptômes psychotiques (F32.2), ainsi que d'un état de stress post-traumatique (F43.1), qu'il fait l'objet d'un suivi hebdomadaire et bénéficie par ailleurs d'un traitement médicamenteux. Il ressort en outre des pièces du dossier que la présence en Suisse de sa soeur constitue un soutien bénéfique pour son état de santé et qu'un éloignement constituerait un facteur négatif en vue de son rétablissement psychique. S'il convient d'admettre que le recourant souffre effectivement de troubles psychiques d'une certaine gravité, il n'a toutefois pas été établi qu'il serait « dépendant » d'une aide quotidienne permanente et se trouverait ainsi à la charge de sa soeur au sens de l'art. 16 par. 1 du règlement Dublin III et de la jurisprudence restrictive applicable en la matière. Il importe de rappeler à cet égard que selon la jurisprudence constante du Tribunal de céans, la reconnaissance d'une relation de dépendance présuppose que le proche parent fournisse une assistance importante dans la vie quotidienne, dans le sens d'une présence, d'une surveillance, voire de soins permanents. Aussi, la seule nécessité d'un soutien affectif, voire psychologique, n'est pas de nature à fonder le lien de dépendance requis par l'art. 16 par. 1 du règlement Dublin III (cf. le consid. 6.2 supra et les références citées). Or, dans le cas particulier, le recourant n'a avancé aucun élément concret ou moyen de preuve probant indiquant qu'il bénéficierait, de la part de sa soeur, d'une réelle prise en charge, dépassant le soutien moral que celle-ci lui fournit, et qu'il souffrirait d'une symptomatologie médicale à ce point grave qu'il aurait besoin quotidiennement et durablement de la surveillance de sa soeur.</w:t>
      </w:r>
    </w:p>
    <w:p>
      <w:r>
        <w:rPr>
          <w:b/>
        </w:rPr>
        <w:t>E. 6.1</w:t>
      </w:r>
    </w:p>
    <w:p>
      <w:r>
        <w:t>Pour s'opposer à son transfert en Suède, le recourant a ensuite argué de ce que la décision querellée était contraire à l'art. 17 par. 1 du règlement Dublin III en relation avec l'art. 3 CEDH., en alléguant qu'au regard de ses problèmes psychiques, son transfert en Suède n'était pas envisageable.</w:t>
      </w:r>
    </w:p>
    <w:p>
      <w:r>
        <w:rPr>
          <w:b/>
        </w:rPr>
        <w:t>E. 6.2</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6.3</w:t>
      </w:r>
    </w:p>
    <w:p>
      <w:r>
        <w:t>En l'espèce, le recourant souffre de troubles psychiques pour lesquels il a bénéficié d'un suivi médical depuis son arrivée en Suisse. Il ressort à cet égard des rapports médicaux établis le 4 décembre 2020 et le 20 janvier 2021 par le Département de psychiatrie du Centre hospitalier universitaire vaudois, que l'intéressé a été traité pour un épisode dépressif sévère sans symptômes psychotiques (F32.2, selon ICD-10), pour un trouble du sommeil sans précision (G47.9), ainsi que pour un état de stress post-traumatique (F43.1) Cela étant, sans minimiser les troubles psychiques affectant l'intéressé, force est de constater que ses problèmes médicaux ne sont pas à ce point graves ou complexes qu'ils nécessiteraient une prise en charge particulière qui ferait opposition à son transfert en Suède, ni d'ailleurs que le recourant ne serait pas en mesure de voyager. Le dossier ne contient en effet aucun élément permettant de retenir que le transfert de l'intéressé en Suède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6.4</w:t>
      </w:r>
    </w:p>
    <w:p>
      <w:r>
        <w:t>Il s'impose de rappeler au surplus que la Suède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Au demeurant, si - après son transfert en Suède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auprès des autorités suédoises, en usant des voies de droit adéquates (cf. art. 26 de la directive Accueil).</w:t>
      </w:r>
    </w:p>
    <w:p>
      <w:r>
        <w:rPr>
          <w:b/>
        </w:rPr>
        <w:t>E. 6.5</w:t>
      </w:r>
    </w:p>
    <w:p>
      <w:r>
        <w:t>Il importe de rappeler ici que, selon la pratique du Tribunal, ni une tentative de suicide, ni des tendances suicidaires ne s'opposent en soi à l'exécution du renvoi, y compris au niveau de son exigibilité, seule une mise en danger présentant des formes concrètes et sérieuses devant être prises en considération (cf. arrêt du Tribunal administratif fédéral D-4756/2017 du 18 septembre 2017). Ainsi, dans l'hypothèse où les tendances suicidaires s'accentueraient dans le cadre de l'exécution forcée, les autorités devraient y remédier au moyen de mesures adéquates, de façon à pallier à un danger concret de dommages à la santé (cf. p. ex. arrêts du Tribunal E-1248/2017 du 8 août 2017 consid. 7.05 ; E-859/2017 du 11 juillet 2017 p. 7). Le risque suicidaire oblige en effet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et en informant dûment les autorités suédoises des troubles psychiatriques du recourant et de son traitement médical.</w:t>
      </w:r>
    </w:p>
    <w:p>
      <w:r>
        <w:rPr>
          <w:b/>
        </w:rPr>
        <w:t>E. 6.6</w:t>
      </w:r>
    </w:p>
    <w:p>
      <w:r>
        <w:t>En conséquence, c'est en vain que le recourant se prévaut de son état de santé, lequel ne saurait constituer en l'état un obstacle à son transfert vers la Suède au regard de l'art. 3 CEDH et à justifier ainsi l'application de la clause discrétionnaire prévue par l'art. 17 par. 1 du règlement Dublin III. Il incombera néanmoins aux autorités suisses chargées de l'exécution du transfert de transmettre aux autorités suédoises les informations médicales permettant une telle prise en charge (cf. art. 31 et 32 du règlement Dublin III).</w:t>
      </w:r>
    </w:p>
    <w:p>
      <w:r>
        <w:rPr>
          <w:b/>
        </w:rPr>
        <w:t>E. 6.7</w:t>
      </w:r>
    </w:p>
    <w:p>
      <w:r>
        <w:t>Il convient de rappeler enfin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7.Enfin,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Aussi, au regard de l'ensemble des éléments qui précèdent, c'est à bon droit que le SEM a retenu qu'il n'y avait pas lieu de faire application de la clause discrétionnaire de l'art. 17 par. 1 du règlement Dublin III. 8.Au vu de ce qui précède, c'est à juste titre que le SEM n'est pas entré en matière sur la demande d'asile du recourant, en application de l'art. 31a al. 1 let. d LAsi, et qu'il a prononcé son transfert de Suisse vers la Suède, en application de l'art. 44 LAsi, aucune exception à la règle générale du renvoi n'étant réalisée (art. 32 OA 1). Le recours est en conséquence rejeté. Vu l'issue de la cause, il y aurait lieu de mettre les frais de procédure à la charge du recourant, conformément à l'art. 63 al. 1 PA. Cela étant, par décision incidente du 11 février 2021, le Tribunal a admis la demande d'assistance judiciaire partielle du recourant, de sorte qu'il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