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F-5305/2021 vom 13. Dezember 2021</w:t>
      </w:r>
    </w:p>
    <w:p>
      <w:r>
        <w:t>Bundesverwaltungsgericht, 2021-12-13, DE</w:t>
      </w:r>
    </w:p>
    <w:p>
      <w:r>
        <w:rPr>
          <w:b/>
        </w:rPr>
        <w:t xml:space="preserve">Quelle: </w:t>
      </w:r>
      <w:r>
        <w:t>https://mcp.opencaselaw.ch/entscheid/bvger_F-5305_2021</w:t>
      </w:r>
    </w:p>
    <w:p>
      <w:r>
        <w:t>FR: TAF F-5305/2021 du 13 décembre 2021</w:t>
      </w:r>
    </w:p>
    <w:p>
      <w:r>
        <w:t>IT: TAF F-5305/2021 del 13 dicembre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beantragt, die Sache sei wegen Verletzung des rechtlichen Gehörs an die Vorinstanz zurückzuweisen. Das Begehren wird nicht weiter begründet, weshalb nicht darauf einzutreten ist.</w:t>
      </w:r>
    </w:p>
    <w:p>
      <w:r>
        <w:rPr>
          <w:b/>
        </w:rPr>
        <w:t>E. 4.1</w:t>
      </w:r>
    </w:p>
    <w:p>
      <w:r>
        <w:t>Auf Asylgesuche wird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Aus den Akten ist ersichtlich, dass der Beschwerdeführer bei seiner Ankunft in Italien ein Asylgesuch gestellt hat. Seine Behauptung, wonach er weder ein Asylgesuch gestellt noch ein italienisches Visum erhalten habe, bringt er denn im Beschwerdeverfahren auch nicht mehr vor. Der Vollständigkeit halber ist dennoch darauf hinzuweisen, dass die Dublin-III-VO den Schutzsuchenden generell kein Recht einräumt, den ihren Antrag prüfenden Staat selber auszuwählen (vgl. BVGE 2010/45 E. 8.3). Nachdem die italienischen Behörden das Wiederaufnahmegesuch der Vorinstanz innert der in Art. 25 Abs. 1 Dublin-III-VO festgelegten Frist nicht beantworten haben, haben sie die Zuständigkeit Italiens implizit anerkannt (Art. 25 Abs. 2 Dublin-III-VO).</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führt aus, entgegen den Ausführungen der Vor-instanz sei der medizinische Sachverhalt nicht ausreichend erstellt. Im Arztbericht vom 22. November 2021 sei festgehalten worden, dass er zur weiteren Abklärung an eine psychiatrische Fachperson in der Schweiz überwiesen werden sollte. Obwohl er mehrmals auf seinen labilen gesundheitlichen Zustand hingewiesen habe, habe er bisher noch keinen Termin erhalten. Es sei für seine Gesundheit wichtig, dass er diesen Termin und eine Behandlung in der Schweiz erhalten könne. Er sei psychisch sehr angeschlagen und leide weiterhin unter Albträumen, Herzrasen und Kopfschmerzen. Er sei in die Schweiz gekommen, um hier Ruhe und Frieden zu finden. In Italien habe er nicht die Behandlung und Unterstützung erhalten, die er benötige. Die Vorstellung, zurück nach Italien gehen zu müssen, bereite ihm grosse Sorgen und verschlechtere seinen Gesundheitszustand. Zudem möchte er mit seinem Bruder zusammenbleiben und unter keinen Umständen von diesem getrennt werden. Wie in dessen Beschwerde vorgebracht werde, sei sein Bruder minderjährig. Er möchte während dieser Zeit bei ihm bleiben und ihn beschützen.</w:t>
      </w:r>
    </w:p>
    <w:p>
      <w:r>
        <w:rPr>
          <w:b/>
        </w:rPr>
        <w:t>E. 5.2</w:t>
      </w:r>
    </w:p>
    <w:p>
      <w:r>
        <w:t>Zunächst ist festzuhalten, dass es keine Anhaltspunkte dafür gibt, dass der Gesundheitszustand des Beschwerdeführers nicht genügend abgeklärt worden wäre. Vielmehr hat sich die Vorinstanz in der angefochtenen Verfügung eingehend mit dem ärztlichen Konsultationsbericht vom 22. November 2021 sowie den Ausführungen des Beschwerdeführers im Dublin-Gespräch auseinandergesetzt. Auch die Tatsache, dass im erwähnten Arztbericht eine Überweisung an eine psychologische Fachperson empfohlen wird, ändert nichts daran, dass der medizinische Sachverhalt aus Sicht des Gerichts genügend erstellt ist. Eine Rückweisung der Sache an die Vorinstanz ist folglich nicht angezeigt und wird vom Beschwerdeführer im Übrigen auch nicht beantragt.</w:t>
      </w:r>
    </w:p>
    <w:p>
      <w:r>
        <w:rPr>
          <w:b/>
        </w:rPr>
        <w:t>E. 5.3</w:t>
      </w:r>
    </w:p>
    <w:p>
      <w:r>
        <w:t>Es gibt keine hinreichenden Gründe für die Annahme, das Asylverfahren und die Aufnahmebedingungen für asylsuchende Personen in Italien hätten Schwachstellen im Sinne von Art. 3 Abs. 2 zweiter und dritter Satz Dublin-III-VO, die eine Gefahr einer unmenschlichen Behandlung im Sinne des Artikels 4 der EU-Grundrechtecharta und Art. 3 EMRK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somit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Weder das Bundesverwaltungsgericht noch der Europäische Gerichtshof für Menschenrechte (EGMR) oder der Europäische Gerichtshof (EuGH) haben bislang systemische Schwachstellen im italienischen Asylsystem erkannt. Zwar steht das italienische Fürsorgesystem für Asylsuchende und Personen mit Schutzstatus in der Kritik; gemäss den bisherigen Erkenntnissen des Bundesverwaltungsgerichts ist indes davon auszugehen, dass Italien die Verfahrens- und Aufnahmerichtlinien einhält (siehe etwa Referenzurteil des BVGer E-962/2019 vom 17. Dezember 2019 E. 6.3; Urteil des BVGer E-685/2021 vom 23. Februar 2021 E. 6). Am 20. Dezember 2020 ist das Umwandlungsgesetz Nr. 173/2020 zum Gesetzesdekret Nr. 130/2020 vom 21. Oktober 2020 in Kraft getreten. Das Gesetzesdekret Nr. 130/2020 sieht eine umfassende Reform des Aufnahmesystems für Asylsuchende in Italien vor, indem zentrale Bestimmungen des sog. Salvini-Dekrets geändert wurden und ein engverflochtenes Aufnahme- und Integrationssystem implementiert wurde. Das neue Aufnahmesystem ist vergleichbar mit jenem, das vor Erlass des Salvini-Dekrets bestanden hat. Nach dem Anmeldeverfahren werden die Asylsuchenden in das Aufnahme- und Integrationssystem SAI (Sistema di accoglienza e integrazione) überführt, welches nunmehr wieder allen Asylsuchenden, also auch den im Rahmen des Dublin-Verfahrens nach Italien überstellten Personen, offensteht. Schutzbedürftige Personen, die einer besonderen Form der Unterstützung bedürfen, geniessen bei der Überstellung von einem Erstaufnahmezentrum in das SAI Priorität (zum Ganzen vgl. Referenzurteil des BVGer F-6330/2020 vom 18. Oktober 2021 E. 10.5). Der Beschwerdeführer vermag mit dem Vorbringen der angeblich unzureichenden Versorgung in Italien, die er anlässlich des Dublin-Gesprächs moniert hat, nicht darzutun, dass die ihn bei einer Rückführung zu erwartenden Bedingungen in Italien derart schlecht seien, dass sie zu einer Verletzung von Art. 4 der EU-Grundrechtecharta bzw. Art. 3 EMRK führen könnten. Vielmehr ist seinen Schilderungen zu entnehmen, dass er in Italien Medikamente, finanzielle Unterstützung sowie rechtliche Beratung erhalten hat.</w:t>
      </w:r>
    </w:p>
    <w:p>
      <w:r>
        <w:rPr>
          <w:b/>
        </w:rPr>
        <w:t>E. 5.4</w:t>
      </w:r>
    </w:p>
    <w:p>
      <w:r>
        <w:t>Die Vorinstanz hat sodann das Selbsteintrittsrecht im Sinne von Art. 17 Abs. 1 Dublin-III-VO sowie Art. 29a Abs. 3 AsylV 1 zu Recht nicht ausgeübt: Der Beschwerdeführer hat kein konkretes und ernsthaftes Risiko dargetan, dass die italienischen Behörden in seinem Fall den erwähnten völkerrechtlichen Verpflichtungen nicht nachkommen würden. Auch die von ihm geltend gemachten psychischen Probleme, die mit Schlaflosigkeit, Herzrasen und Kopfschmerzen einhergehen, stellen kein Hindernis für eine Überstellung nach Italien dar. Es gibt keinen Grund zur Annahme, dass ihm dort die notwendige medizinische Behandlung verweigert würde. Wie die Vorin-stanz zudem bereits festgehalten hat, werden die schweizerischen Behörden, die mit dem Vollzug der angefochtenen Verfügungen beauftragt sind, den medizinischen Umständen bei der Bestimmung der konkreten Modalitäten der Überstellung Rechnung tragen und die italienischen Behörden vorgängig über die spezifischen Gegebenheiten informieren (vgl. Art. 31 f. Dublin-III-VO). Bezüglich des Vorbringens des Beschwerdeführers, wonach sein Bruder minderjährig sei, ist auf die Ausführungen im separat geführten Verfahren F-5306-2021 zu verweisen. Zusammenfassend ist die Schweiz weder völkerrechtlich verpflichtet, auf das Asylgesuch einzutreten, noch liegen humanitäre Gründe vor, welche einen Selbsteintritt nahelegen würden.</w:t>
      </w:r>
    </w:p>
    <w:p>
      <w:r>
        <w:rPr>
          <w:b/>
        </w:rPr>
        <w:t>E. 5.5</w:t>
      </w:r>
    </w:p>
    <w:p>
      <w:r>
        <w:t>Die Vorinstanz ist demnach zu Recht gestützt auf Art. 31a Abs. 1 Bst. b AsylG auf das Asylgesuch des Beschwerdeführers nicht eingetreten und hat seine Wegweisung nach Italien angeordnet.</w:t>
      </w:r>
    </w:p>
    <w:p>
      <w:r>
        <w:rPr>
          <w:b/>
        </w:rPr>
        <w:t>E. 6</w:t>
      </w:r>
    </w:p>
    <w:p>
      <w:r>
        <w:t>Nach dem Gesagten ist die Beschwerde abzuweisen. Mit dem vorliegenden Urteil fällt der am 7. Dezember 2021 angeordnete Vollzugsstopp dahin. Das Gesuch um Erteilung der aufschiebenden Wirkung ist gegenstandslos geworden.</w:t>
      </w:r>
    </w:p>
    <w:p>
      <w:r>
        <w:rPr>
          <w:b/>
        </w:rPr>
        <w:t>E. 7.1</w:t>
      </w:r>
    </w:p>
    <w:p>
      <w:r>
        <w:t>Die gestellten Begehren erweisen sich als aussichtslos, weshalb das Gesuch um unentgeltliche Prozessführung ungeachtet einer allfälligen prozessualen Bedürftigkeit abzuweisen ist (Art. 65 Abs. 1 VwVG).</w:t>
      </w:r>
    </w:p>
    <w:p>
      <w:r>
        <w:rPr>
          <w:b/>
        </w:rPr>
        <w:t>E. 7.2</w:t>
      </w:r>
    </w:p>
    <w:p>
      <w:r>
        <w:t>Der Antrag auf Parteientschädigung ist abzuweisen, zumal der Beschwerdeführer ohnehin nicht anwaltlich vertreten ist.</w:t>
      </w:r>
    </w:p>
    <w:p>
      <w:r>
        <w:rPr>
          <w:b/>
        </w:rPr>
        <w:t>E. 7.3</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