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F-5303/2019 vom 21. Oktober 2019</w:t>
      </w:r>
    </w:p>
    <w:p>
      <w:r>
        <w:t>Bundesverwaltungsgericht, 2019-10-21, FR</w:t>
      </w:r>
    </w:p>
    <w:p>
      <w:r>
        <w:rPr>
          <w:b/>
        </w:rPr>
        <w:t xml:space="preserve">Quelle: </w:t>
      </w:r>
      <w:r>
        <w:t>https://mcp.opencaselaw.ch/entscheid/bvger_F-5303_2019</w:t>
      </w:r>
    </w:p>
    <w:p>
      <w:r>
        <w:t>FR: TAF F-5303/2019 du 21 octobre 2019</w:t>
      </w:r>
    </w:p>
    <w:p>
      <w:r>
        <w:t>IT: TAF F-5303/2019 del 21 ottobre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recours datés du 10 octobre 2019 sont rejetés dans la mesure où ils sont recevables.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ll est statué sans frais.</w:t>
      </w:r>
    </w:p>
    <w:p>
      <w:r>
        <w:rPr>
          <w:b/>
        </w:rPr>
        <w:t>E. 4</w:t>
      </w:r>
    </w:p>
    <w:p>
      <w:r>
        <w:t>Le présent arrêt est adressé à la recourante, au SEM et à l'autorité cantonale. La présidente du collège : La greffière : Jenny de Coulon Scuntaro Astrid Dapples Expédition : Destinataires : - mandataires respectifs de la recourante (par lettre recommandée ; annexe : un bulletin de versement) - SEM, Division Dublin, avec le dossier N (en copie, par poste interne) - le Service de la population du canton de Vaud, division asile et retour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