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F-5289/2022 vom 19. Mai 2025</w:t>
      </w:r>
    </w:p>
    <w:p>
      <w:r>
        <w:t>Bundesverwaltungsgericht, 2025-05-19, FR</w:t>
      </w:r>
    </w:p>
    <w:p>
      <w:r>
        <w:rPr>
          <w:b/>
        </w:rPr>
        <w:t xml:space="preserve">Quelle: </w:t>
      </w:r>
      <w:r>
        <w:t>https://mcp.opencaselaw.ch/entscheid/bvger_F-5289_2022</w:t>
      </w:r>
    </w:p>
    <w:p>
      <w:r>
        <w:t>FR: TAF F-5289/2022 du 19 mai 2025</w:t>
      </w:r>
    </w:p>
    <w:p>
      <w:r>
        <w:t>IT: TAF F-5289/2022 del 19 maggio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t>F-5289/2022 Page 4</w:t>
      </w:r>
    </w:p>
    <w:p>
      <w:r>
        <w:rPr>
          <w:b/>
        </w:rPr>
        <w:t>E. 1.3</w:t>
      </w:r>
    </w:p>
    <w:p>
      <w:r>
        <w:t>La recourante 1 a participé à la procédure devant l’autorité inférieure et est particulièrement atteinte par la décision attaquée (cf. ATAF 2014/1 consid. 1.3.1 s.). Représentée par procuration, elle a qualité pour agir et conserve un intérêt digne de protection à la présente procédure de recours, bien que la date originairement prévue pour sa visite soit dépassée (cf. art. 48 al. 1 PA ; cf. dans ce sens, arrêt du TAF F-565/2024 du 16 décembre 2024 consid. 1.2). A cet égard, les deux nouvelles demandes de visa dé- posées les 20 avril 2023 et 29 août 2024 ont confirmé son intérêt au main- tien de la procédure. Les recourants 2 et 3 ont participé à la procédure devant l'autorité infé- rieure. Ils ont qualité pour agir aux côtés de la recourante 1, qu’ils repré- sentent au surplus depuis le début de la procédure par-devant l’autorité inférieure. Présenté dans la forme et les délais prescrits par la loi, le recours est ainsi recevable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A cet égard, dans la mesure où les nouvelles demandes de visa, déposées par l’invitée en 2023 et 2024 et rejetées par la Représentation suisse, ont exactement la même motiva- tion que la première demande déposée en 2022, c’est à juste titre que l’autorité inférieure a transmis les oppositions des 17 mai 2023 et 5 sep- tembre 2024 au Tribunal, l’objet du litige demeurant in fine le même (cf. art. 54 PA).</w:t>
      </w:r>
    </w:p>
    <w:p>
      <w:r>
        <w:rPr>
          <w:b/>
        </w:rPr>
        <w:t>E. 3.1</w:t>
      </w:r>
    </w:p>
    <w:p>
      <w:r>
        <w:t>La politique des autorités suisses en matière de visa joue un rôle très important dans la prévention de l'immigration clandestine (cf., à ce sujet, le Message du Conseil fédéral concernant la loi sur les étrangers du 8 mars</w:t>
      </w:r>
    </w:p>
    <w:p>
      <w:r>
        <w:t>F-5289/2022 Page 5 2002, FF 2002 3469,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précité, FF 2002 3469,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 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 dence constante, la réglementation Schengen ne confère, pas plus que la législation suisse, de droit à l'entrée dans l'Espace Schengen, ni de droit à l'octroi d'un visa (cf. ATAF 2018 VII/5 consid. 3.1 et les réf. citées).</w:t>
      </w:r>
    </w:p>
    <w:p>
      <w:r>
        <w:rPr>
          <w:b/>
        </w:rPr>
        <w:t>E. 3.2</w:t>
      </w:r>
    </w:p>
    <w:p>
      <w:r>
        <w:t>Les dispositions sur la procédure en matière de visa ainsi que sur l'en- trée en Suisse et la sortie de ce pays ne s'appliquent que dans la mesure où les accords d'association à Schengen, qui sont mentionnés à l'An- nexe 1, ch. 1 LEI (RS 142.20), ne contiennent pas de dispositions diver- 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w:t>
      </w:r>
    </w:p>
    <w:p>
      <w:r>
        <w:t>F-5289/2022 Page 6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consid. 5.2 s.). Cette interprétation est d'ailleurs corroborée par le règle- 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 culière est accordée à cette volonté (cf. art. 21 par. 1 du code des visas).</w:t>
      </w:r>
    </w:p>
    <w:p>
      <w:r>
        <w:rPr>
          <w:b/>
        </w:rPr>
        <w:t>E. 3.3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 mandeur dispose de moyens financiers dans le pays de résidence, d'une attestation d'emploi et des relevés bancaires, de toute preuve de la pos- session de biens immobiliers et de toute preuve de l'intégration dans le pays de résidence (liens de parenté et situation professionnelle).</w:t>
      </w:r>
    </w:p>
    <w:p>
      <w:r>
        <w:rPr>
          <w:b/>
        </w:rPr>
        <w:t>E. 3.4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différencie, en son art. 1, les ressortissants des Etats tiers selon qu'ils sont soumis ou non à l’obligation du visa. Comme ressortissante algérienne, l’invitée est soumise à l’obligation du visa (art. 8 al. 1 OEV, qui renvoie à l’annexe I ch. 1 du règlement 2018/1806 susmentionné).</w:t>
      </w:r>
    </w:p>
    <w:p>
      <w:r>
        <w:t>F-5289/2022 Page 7</w:t>
      </w:r>
    </w:p>
    <w:p>
      <w:r>
        <w:rPr>
          <w:b/>
        </w:rPr>
        <w:t>E. 4.1</w:t>
      </w:r>
    </w:p>
    <w:p>
      <w:r>
        <w:t>Dans sa décision du 21 octobre 2022, l’autorité inférieure a retenu que l’invitée serait en mesure d’assumer personnellement les frais de son sé- jour en Suisse ainsi que de retour dans son pays d’origine. Cela étant, il apparaissait que ses frais de voyage et de subsistance seraient pris en charge par les invitants. Or, le Service de la population du canton de rési- dence de ces derniers avait émis un préavis négatif concernant la déclara- tion de prise en charge de l’invitée signée par les invitants. Dès lors, l’auto- rité inférieure a considéré que l’invitée n’avait pas démontré disposer de moyens de subsistance suffisants pour la durée de son séjour, ni de moyens pour le retour dans son pays d’origine. Enfin, le SEM a estimé que le but du séjour de l’invitée en Suisse était d’assister les invitants suite à la naissance de leurs jumeaux, activité soumise à autorisation en sus d’un éventuel visa.</w:t>
      </w:r>
    </w:p>
    <w:p>
      <w:r>
        <w:rPr>
          <w:b/>
        </w:rPr>
        <w:t>E. 4.2</w:t>
      </w:r>
    </w:p>
    <w:p>
      <w:r>
        <w:t>Pour leur part, les recourants ont rappelé que l’invitée était déjà venue leur rendre visite à deux reprises, en 2016 et 2019, en respectant les délais de départ qui lui avaient été fixés. Ils ont également relevé que le SEM reconnaissait que l’invitée avait les moyens d’assumer son séjour mais qu’il avait rejeté l’opposition au motif que ledit séjour n’aurait pas été assumée par l’invitée, indépendamment des moyens à sa disposition. Enfin, ils ont indiqué que l’invitée n’avait aucunement pour but d’exercer une activité lu- crative de garde d’enfants lors de son séjour, mais souhaitait uniquement rendre visite à sa famille.</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 ger concerné (cf. ATAF 2014/1 consid. 6.1 à 6.3). Un visa ne peut être oc- troyé que s'il n'existe pas de doutes fondés quant au retour de l'invité dans sa patrie dans les délais impartis (cf. arrêt du TAF F-7218/2023 du 27 mai 2024 consid. 3.4). Tel est le cas si, au vu de l'ensemble des circonstances,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w:t>
      </w:r>
    </w:p>
    <w:p>
      <w:r>
        <w:t>F-5289/2022 Page 8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 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 mique ou politique difficile, il se justifie en effet d'appliquer une pratique restrictive, car les intérêts privés de telles personnes s'avèrent souvent in- compatibles avec le but et l'esprit d'une autorisation d'entrée limitée dans le temps (cf. ATAF 2014/1 consid. 6.1 et 7.2 et arrêt du TAF F-4899/2024 du 4 novembre 2024 consid. 5.2).</w:t>
      </w:r>
    </w:p>
    <w:p>
      <w:r>
        <w:rPr>
          <w:b/>
        </w:rPr>
        <w:t>E. 6.1</w:t>
      </w:r>
    </w:p>
    <w:p>
      <w:r>
        <w:t>Dans le cas particulier, compte tenu de la situation générale prévalant actuellement en Algérie − notamment sur le plan socio-économique − et des nombreux avantages qu'offrent la Suisse et d'autres pays membres de l'Espace Schengen − notamment en termes de niveau de vie et de marché de l’emploi −, le Tribunal de céans ne saurait de prime abord écarter les craintes émises par l'autorité inférieure quant à une éventuelle prolongation du séjour de l’invitée sur le territoire suisse − respectivement dans l'Espace Schengen − au-delà de la durée de validité du visa convoité. En effet, le produit intérieur brut (PIB) par habitant de l’Algérie a été calculé à 5'364.- USD par la Banque mondiale pour l’année 2023, demeurant ainsi très en dessous des standards européens et notamment de celui de la Suisse pour la même période (99'564,70 USD ; cf. site Internet de la Banque mondiale, www.banquemondiale.org &gt; naviguer par indicateur &gt; PIB par habitant, consulté en mai 2025). Par ailleurs, sur le plan sécuritaire, le risque d’attentats terroristes, lesquels peuvent viser institutions pu- bliques et forces de sécurité, demeure élevé. Enfin, hors des grandes villes, les infrastructures médicales sont souvent insuffisantes voire pré- caires (cf. Département fédéral des affaires étrangères [DFAE], en ligne sur son site : www.eda.admin.ch &gt; Conseils aux voyageurs &amp; représenta- tions &gt; Algérie, consulté en mai 2025).</w:t>
      </w:r>
    </w:p>
    <w:p>
      <w:r>
        <w:t>F-5289/2022 Page 9 Le Tribunal ne saurait omettre que les importantes disparités socioécono- miques existant entre l’Algérie et la Suisse, ainsi que la situation sécuri- taire, ne sont pas sans entraîner une pression migratoire non négligeable. Cette tendance migratoire n’est que renforcée lorsque la personne concer- née peut s’appuyer sur un réseau social préexistant dans son pays de des- tination, comme c’est précisément le cas en l’espèce (ATAF 2014/1 consid. 6.2.2 ; arrêt du TAF F-2157/2024 d 28 février 2025 consid. 4.4).</w:t>
      </w:r>
    </w:p>
    <w:p>
      <w:r>
        <w:rPr>
          <w:b/>
        </w:rPr>
        <w:t>E. 6.2</w:t>
      </w:r>
    </w:p>
    <w:p>
      <w:r>
        <w:t>Cela étant, le Tribunal ne saurait se fonder sur la seule situation préva- lant en Algérie pour conclure à l’absence de garantie quant à la sortie de l’intéressée de l’Espace Schengen à l’issue de la durée de validité du visa convoité, mais doit également prendre en considération les particularités du cas d’espèce. Ainsi, si l’intéressé assume d’importantes responsabilités dans sa patrie (aux plans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F-862/2023 du 24 mai 2024 consid. 8.1).</w:t>
      </w:r>
    </w:p>
    <w:p>
      <w:r>
        <w:rPr>
          <w:b/>
        </w:rPr>
        <w:t>E. 6.3</w:t>
      </w:r>
    </w:p>
    <w:p>
      <w:r>
        <w:t>Il convient dès lors d’examiner si la situation personnelle, familiale et professionnelle de l’intéressée plaide en faveur de sa sortie ponctuelle de Suisse (respectivement de l’Espace Schengen) au terme du séjour envi- sagé.</w:t>
      </w:r>
    </w:p>
    <w:p>
      <w:r>
        <w:rPr>
          <w:b/>
        </w:rPr>
        <w:t>E. 6.3.1</w:t>
      </w:r>
    </w:p>
    <w:p>
      <w:r>
        <w:t>En l’espèce, le Tribunal relève tout d’abord que l’invitée, célibataire et sans enfant, a toujours vécu en Algérie. Employée en qualité de récep- tionniste, elle réalise, sur le vu des dernières fiches de salaire produites, un revenu mensuel moyen d’environ 385.- francs. Au surplus, elle n’a au- cunement prétendu être propriétaire d’un bien immobilier, occuper un poste à responsabilité ou être particulièrement investie dans la vie associative. Enfin, elle a produit les extraits de deux comptes bancaires, lesquels fai- saient état d’un solde de 3'000.- euros, respectivement 937'179,50 dinars algériens, soit un total d’environ 8'700.- francs. Dès lors, force est de constater que l’invitée ne dispose pas de liens ou d’obligations sociales ou familiales extraordinaires ou même d’importance en Algérie, pas plus que d’attaches financières ou patrimoniales, étant en- core précisé que les coûts d’hébergement et de nourriture seraient assu- més en nature par sa sœur et son beau-frère.</w:t>
      </w:r>
    </w:p>
    <w:p>
      <w:r>
        <w:t>F-5289/2022 Page 10</w:t>
      </w:r>
    </w:p>
    <w:p>
      <w:r>
        <w:rPr>
          <w:b/>
        </w:rPr>
        <w:t>E. 6.3.2</w:t>
      </w:r>
    </w:p>
    <w:p>
      <w:r>
        <w:t>Concernant l’éventuelle application de l’art. 8 CEDH, il y a lieu de rappeler que cette disposition, protégeant, entre autres, la vie privée et fa- miliale, ne garantit pas le droit d’entrer ou de résider dans un Etat dont la personne n’est pas ressortissante, les Etats contractants ayant le droit de contrôler l’entrée, le séjour et l’établissement des non-nationaux.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(cf. ATF 144 I 91 consid. 4.2 ; arrêt du TF 2C_149/2023 du 22 novembre 2023 consid. 5.2).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ou requiert, en présence d’enfants majeur, l’existence d’un rapport de dépendance, en raison par exemple d’un handicap ou d’une maladie grave (ATF 147 I 268 consid. 1.2.3 ; 145 I 227 consid. 3.1), ce qui n’est pas le cas en l’espèce. Le souhait des invitants de permettre à leur sœur, respectivement belle- sœur, de venir leur rendre visite, ainsi qu’à leurs enfants, notamment les deux plus jeunes, nés prématurément, qu’elle n’a encore jamais rencon- trés, est certes compréhensible et légitime, mais ne constitue pas à lui seul un motif justifiant l’octroi d’un visa en sa faveur. Le refus d’octroi de l’auto- risation d’entrée sollicitée, fondé sur des considérations liées à l’ordre pu- blic (risques migratoires), ne viole par conséquent pas cette disposition conventionnelle. Au demeurant, il convient de relever qu’un refus d’autori- sation d’entrée dans l’Espace Schengen prononcé par les autorités suisses n’a pas, en l’occurrence, pour conséquence d’empêcher l’invitée et sa fa- mille de se rencontrer ailleurs qu’en Suisse. Bien au contraire, dans la me- sure où les plus jeunes enfants du couple ont à présent plus de trois ans, une réunion sur le sol algérien apparaît parfaitement dans l’ordre du pos- sible. A cela s’ajoute que les contacts peuvent également être maintenus par d’autres moyens tels que la communication téléphonique, la corres- pondance et les visioconférences.</w:t>
      </w:r>
    </w:p>
    <w:p>
      <w:r>
        <w:rPr>
          <w:b/>
        </w:rPr>
        <w:t>E. 6.4</w:t>
      </w:r>
    </w:p>
    <w:p>
      <w:r>
        <w:t>Sur le vu de ce qui précède, et sans remettre en cause le désir de l’invitée de venir rendre visite à sa famille en Suisse, le Tribunal estime que celle-ci n’a pas démontré disposer, dans son pays d’origine, d’attaches à ce point étroites ou de responsabilités à ce point importantes que son dé- part de Suisse au terme du séjour sollicité puisse être garanti, étant encore rappelé la jurisprudence restrictive en la matière (cf. supra consid. 5.2).</w:t>
      </w:r>
    </w:p>
    <w:p>
      <w:r>
        <w:t>F-5289/2022 Page 11 Dans ce contexte, il n’est pas nécessaire d’examiner plus avant si le sou- tien que comptait apporter l’invitée à sa sœur en matière de garde d’en- fants devait être qualifié d’activité lucrative et, partant, soumis à autorisa- tion ou s’il s’agissait, comme l’affirment les recourants, d’un simple soutien intrafamilial. Dans ces circonstances, le Tribunal ne saurait reprocher à l'instance infé- rieure d'avoir confirmé le refus d'autorisation d'entrée dans l'Espace Schengen concernant l’invitée</w:t>
      </w:r>
    </w:p>
    <w:p>
      <w:r>
        <w:rPr>
          <w:b/>
        </w:rPr>
        <w:t>E. 7.1</w:t>
      </w:r>
    </w:p>
    <w:p>
      <w:r>
        <w:t>Au regard de ces éléments, l’autorité inférieure, qui dispose d’un large pouvoir d’appréciation en la matière, n’a, par sa décision du 21 octobre 2022,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F-5289/2022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