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F-5289/2017 vom 21. März 2019</w:t>
      </w:r>
    </w:p>
    <w:p>
      <w:r>
        <w:t>Bundesverwaltungsgericht, 2019-03-21, FR</w:t>
      </w:r>
    </w:p>
    <w:p>
      <w:r>
        <w:rPr>
          <w:b/>
        </w:rPr>
        <w:t xml:space="preserve">Quelle: </w:t>
      </w:r>
      <w:r>
        <w:t>https://mcp.opencaselaw.ch/entscheid/bvger_F-5289_2017</w:t>
      </w:r>
    </w:p>
    <w:p>
      <w:r>
        <w:t>FR: TAF F-5289/2017 du 21 mars 2019</w:t>
      </w:r>
    </w:p>
    <w:p>
      <w:r>
        <w:t>IT: TAF F-5289/2017 del 21 marzo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 4.Selon l'art. 99 de la loi fédérale sur les étrangers du 16 décembre 2005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Service de la population a soumis sa décision du 9 janvier 2017 à l'approbation de l'autorité fédérale en conformité avec la législation et la jurisprudence (cf., à ce sujet, l'ATF 141 II 169 consid. 4). Il s'ensuit que ni le Tribunal, ni le SEM ne sont liés par la décision cantonale précitée de prolonger l'autorisation de séjour de A._______ et peuvent parfaitement s'écarter de l'appréciation faite par l'autorité cantonale vaudoise.</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5.2</w:t>
      </w:r>
    </w:p>
    <w:p>
      <w:r>
        <w:t>En l'espèce, il ressort du dossier que le recourant et son épouse ont contracté mariage le 21 décembre 2010 et que leur séparation est survenue le 15 mai 2014. Leur union ayant duré moins de cinq ans, le SPOP a refusé, par décision du 9 janvier 2017, la délivrance d'une autorisation d'établissement à A._______. Le recourant ne saurait ainsi de toute évidence pas se prévaloir des dispositions de l'art. 42 al. 1 et 3 LEtr, ce qu'il ne prétend d'ailleurs pas. 6.Il convient dès lors d'examiner si l'intéressé peut se prévaloir d'un droit au renouvellement de son autorisation de séjour en vertu de l'art. 50 LEtr.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 6.2 En l'occurrence, si la condition relative à la durée de l'union conjugale supérieure à trois ans est réalisée, il convient encore d'examiner si l'intéressé peut se prévaloir d'une intégration réussie. 6.3 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2C_638/2016 du 1er février 2017 consid. 3.2, 2C_861/2015 du 11 février 2016 consid. 5.1 à 5.3.1 et 2C_292/2015 du 4 juin 2015 consid. 4.2 et les références citées). 6.4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 du Tribunal fédéral 2C_1066/2016 du 31 mars 2017 consid. 3.3 in fine et la jurisprudence citée).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 6.5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 6.6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7.1</w:t>
      </w:r>
    </w:p>
    <w:p>
      <w:r>
        <w:t>En l'occurrence, l'autorité inférieure a considéré que le recourant ne pouvait pas se prévaloir d'une intégration réussie en Suisse, au motif qu'il était sans emploi, percevait le revenu d'insertion depuis le 1er juin 2014 et avait fait l'objet de divers actes de défaut de biens pour un montant de 2'420.25 frs. Le SEM a relevé en outre que le comportement du requérant n'était pas exempt de reproches, dès lors qu'il avait été condamné le 6 janvier 2015 pour voies de fait qualifiées sur la personne de son épouse. Le recourant a, quant à lui, allégué qu'il avait fait son possible pour obtenir et conserver un emploi fixe et rappelé qu'il avait précédemment travaillé pour la société D._______ et qu'il avait suivi des stages et des formations en vue d'améliorer sa situation sur le marché de l'emploi. Il a relevé en outre que sa condamnation pour voie de fait constituait un fait isolé qui ne devait pas remettre en cause son bon comportement général en Suisse.</w:t>
      </w:r>
    </w:p>
    <w:p>
      <w:r>
        <w:rPr>
          <w:b/>
        </w:rPr>
        <w:t>E. 7.2</w:t>
      </w:r>
    </w:p>
    <w:p>
      <w:r>
        <w:t>Le Tribunal relève à ce propos que le recourant réside certes depuis plus de neuf ans en Suisse, mais aucun élément du dossier ne démontre qu'il se serait créé des attaches sociales particulièrement étroites avec ce pays. Ainsi, il n'apparaît pas qu'il se serait particulièrement investi dans la vie associative et culturelle de son canton ou de sa commune de résidence, en participant activement à des sociétés locales par exemple. Sous l'angle de l'intégration professionnelle, l'intéressé ne peut pas se prévaloir d'une situation satisfaisante. Malgré la durée de son séjour en Suisse, il n'a pas réussi à se créer une situation professionnelle tant soit peu durable et n'a plus exercé d'activité lucrative depuis le mois de septembre 2014, soit depuis l'échéance de son engagement, à temps partiel, dans le cadre de contrats de mission pour l'entreprise D._______. Bien que le recourant se soit efforcé, par le suivi de cours et de formations, d'améliorer ses chances de trouver un emploi, le Tribunal est amené à devoir constater que ses efforts n'ont pas abouti et que celui-ci est dépendant, depuis plus de quatre ans, des prestations de l'aide sociale (cf. attestation du CSR du 11 octobre 2014, produite en procédure de recours, selon laquelle il bénéficie depuis le 1er juin 2014 du Revenu d'insertion). Par ailleurs, le Tribunal ne saurait accorder une importance prépondérante au fait que l'absence de titre de séjour ait rendu la recherche d'emploi de l'intéressé plus difficile. Le recourant était en effet autorisé à travailler durant la procédure tendant à la prolongation de son autorisation de séjour et se trouvait ainsi dans la même situation que de nombreux autres étrangers qui, en raison de leur statut précaire, sont confrontés à des difficultés accrues sur le marché du travail helvétique. A cet égard, il ne faut par ailleurs pas perdre de vue que le recourant est jeune et dispose de bonnes connaissances en français. Compte tenu des considérations qui précèdent, l'intégration professionnelle du recourant ne peut pas être considérée comme réussie au sens de la jurisprudence mentionnée plus haut (cf. consid. 6.4 supra).</w:t>
      </w:r>
    </w:p>
    <w:p>
      <w:r>
        <w:rPr>
          <w:b/>
        </w:rPr>
        <w:t>E. 7.3</w:t>
      </w:r>
    </w:p>
    <w:p>
      <w:r>
        <w:t>Le Tribunal ne peut enfin passer sous silence que le comportement du recourant en Suisse n'est pas exempt de reproches, dès lors qu'il y a été condamné, le 23 juillet 2014, par le Ministère public de l'arrondissement de Lausanne à une amende de 200.- francs pour contravention à la Loi fédérale du 3 octobre 1951 sur les stupéfiants et les substances psychotropes (Loi sur les stupéfiants, LStup, RS 812.121), puis le 6 janvier 2015, toujours par le Ministère public de l'arrondissement de Lausanne à 500 frs.- d'amende pour voies de fait qualifiées (commises sur la personne de son épouse le 18 octobre 2014).</w:t>
      </w:r>
    </w:p>
    <w:p>
      <w:r>
        <w:rPr>
          <w:b/>
        </w:rPr>
        <w:t>E. 7.4</w:t>
      </w:r>
    </w:p>
    <w:p>
      <w:r>
        <w:t>Aussi, au terme d'une appréciation globale des circonstances, le Tribunal est amené à considérer, à l'instar de l'autorité inférieure, que l'intéressé ne peut se prévaloir d'une intégration réussie en Suisse.</w:t>
      </w:r>
    </w:p>
    <w:p>
      <w:r>
        <w:rPr>
          <w:b/>
        </w:rPr>
        <w:t>E. 8.1</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8.2</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8.3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8.4</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9</w:t>
      </w:r>
    </w:p>
    <w:p>
      <w:r>
        <w:t>En l'occurrence, il convient également de tenir compte du droit au respect de sa vie privée et familiale, garanti par l'art. 8 CEDH, dont le recourant se prévaut expressément. Une raison personnelle majeure peut en effet en particulier découler d'une relation digne de protection avec un enfant qui a le droit de séjourner en Suisse (cf. notamment ATF 143 I 21 consid. 4.1 et 139 I 315 consid. 2.1).</w:t>
      </w:r>
    </w:p>
    <w:p>
      <w:r>
        <w:rPr>
          <w:b/>
        </w:rPr>
        <w:t>E. 9.1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Tribunal fédéral a en outre récemment jugé que le droit au respect de la vie privée (art. 8 par. 1 CEDH)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(arrêt du TF 2C_105/2017 du 8 mai 2018 consid. 3.9 [prévu pour publication] ; voir également arrêt du TF 2C_436/2018 du 8 novembre 2018 consid. 2.2 et 2.3).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l'arrêt du Tribunal fédéral 2C_950/2017 du 16 mai 2018 consid. 3.2, ainsi que la jurisprudence citée).</w:t>
      </w:r>
    </w:p>
    <w:p>
      <w:r>
        <w:rPr>
          <w:b/>
        </w:rPr>
        <w:t>E. 9.3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w:t>
      </w:r>
    </w:p>
    <w:p>
      <w:r>
        <w:rPr>
          <w:b/>
        </w:rPr>
        <w:t>E. 9.4</w:t>
      </w:r>
    </w:p>
    <w:p>
      <w:r>
        <w:t>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9.5</w:t>
      </w:r>
    </w:p>
    <w:p>
      <w:r>
        <w:t>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du 23 janvier 2015 consid. 3.2 et la jurisprudence citée).</w:t>
      </w:r>
    </w:p>
    <w:p>
      <w:r>
        <w:rPr>
          <w:b/>
        </w:rPr>
        <w:t>E. 9.6</w:t>
      </w:r>
    </w:p>
    <w:p>
      <w:r>
        <w:t>En l'espèce, le Tribunal constate que, selon la convention passée avec son épouse et ratifiée le 9 février 2018 par la Présidente du Tribunal d'arrondissement de Lausanne, le recourant s'est vu octroyer « un libre et large droit de visite à l'égard de sa fille C._______, née le 20 août 2009, à exercer d'entente avec la mère » et que « à défaut d'entente avec la mère et tant qu'il ne disposera pas d'un logement permettant d'accueillir sa fille pour dormir, il pourra avoir sa fille auprès de lui un dimanche sur deux de 12 heures à 18 heures ». Il s'impose de rappeler ici que, selon la jurisprudence citée ci-avant (cf. consid. 9.3)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Dans le cas d'espèce, force est de constater toutefois que la convention du 9 février 2018 attribue au recourant un droit de visite « un dimanche sur deux de 12 à 18 heures » et qu'il n'a pas été allégué que ce droit de visite aurait été étendu depuis lors. Cela étant, on ne saurait considérer que le recourant dispose d'un droit de visite usuel sur sa fille C._______ tel que requis par la jurisprudence précitée et celui-ci ne peut dès lors, dans ces circonstances, se prévaloir de la protection de la vie familiale à ce titre.</w:t>
      </w:r>
    </w:p>
    <w:p>
      <w:r>
        <w:rPr>
          <w:b/>
        </w:rPr>
        <w:t>E. 9.7</w:t>
      </w:r>
    </w:p>
    <w:p>
      <w:r>
        <w:t>Le Tribunal constate par ailleurs que le recourant a démontré un manque de respect flagrant vis-à-vis de la convention passée le 9 février 2018 avec B._______, convention qui prévoyait « le versement régulier d'une pension mensuelle de 100 fr... payable d'avance le premier jour de chaque mois...». Il apparaît en effet que le recourant n'a versé aucune des pensions dues pour les mois d'août, septembre, octobre, novembre et décembre 2018 dans les délais convenus par les parties, attitude qui démontre un désintérêt coupable pour ses obligations financières vis-à-vis de sa fille. Il est à cet égard symptomatique de constater que l'intéressé ne s'est finalement acquitté de la somme due (soit Fr. 500.-) que le 10 janvier 2019, soit le jour de l'échéance du délai que le Tribunal lui avait imparti pour démontrer le versement des pensions précitées. Cette attitude donne à penser que l'intéressé n'est prêt à assumer ses responsabilités financières que pour les besoins de sa cause, soit son intérêt personnel à la poursuite de son séjour en Suisse. Enfin, sous l'angle de la condition du comportement irréprochable, il y a lieu de tenir compte du fait que, outre les condamnations pénales sus-rappelées, le recourant a accumulé une dette sociale considérable ( les pièces du dossier faisant état d'une somme de Fr. 46'542.00 pour la période du 1er janvier au 31 décembre 2016 et d'une somme e Fr. 22'839.75 pour la période du 1er janvier au 30 septembre 2017), dette qui continue de s'élever dès lors que l'intéressé a continué à percevoir depuis lors le revenu d'insertion. Aussi, en considération de ce qui précède, et nonobstant les dernières tentatives du recourant de reprendre pied dans le monde du travail au travers d'un stage qui devait débuter récemment, le Tribunal est amené à conclure que celui-ci ne remplit pas la condition d'une relation particulièrement étroite sur les plans affectif et économique avec sa fille C._______ et qu'il ne peut ainsi se prévaloir de l'art. 8 CEDH pour prétendre au renouvellement de son autorisation de séjour.</w:t>
      </w:r>
    </w:p>
    <w:p>
      <w:r>
        <w:rPr>
          <w:b/>
        </w:rPr>
        <w:t>E. 10.1</w:t>
      </w:r>
    </w:p>
    <w:p>
      <w:r>
        <w:t>Le Tribunal constate, sur un autre plan, que le dossier ne fait pas apparaître d'autres éléments pouvant constituer des raisons personnelles majeures au sens de l'art. 50 al. 1 let. b LEtr ou de l'art. 31 al. 1 OASA. S'agissant des possibilités de réintégration du recourant dans son pays d'origine, il convient tout au plus de relever que l'intéressé, qui est encore jeune, a passé une grande partie de son existence en Gambie. S'il a certes vécu plusieurs années Grande Bretagne, puis en Suisse, le Tribunal estime que, compte tenu de son âge et de son degré de formation, sa réintégration en Gambie ne saurait être considérée comme fortement compromise.</w:t>
      </w:r>
    </w:p>
    <w:p>
      <w:r>
        <w:rPr>
          <w:b/>
        </w:rPr>
        <w:t>E. 10.2</w:t>
      </w:r>
    </w:p>
    <w:p>
      <w:r>
        <w:t>Quant aux éléments non encore examinés à prendre en considération conformément à l'art. 31 al. 1 OASA, on ne saurait retenir que le recourant a fait preuve d'une intégration poussée en Suisse. En outre, il ne s'est pas créé en Suisse des attaches professionnelles ou sociales à ce point profondes et durables qu'un retour dans son pays d'origine ne puisse être exigé.</w:t>
      </w:r>
    </w:p>
    <w:p>
      <w:r>
        <w:rPr>
          <w:b/>
        </w:rPr>
        <w:t>E. 10.3</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10.4</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 11.Dans la mesure où l'intéressé n'obtient pas la prolongation de son autorisation de séjour, c'est également à bon droit que l'autorité intimée a prononcé son renvoi de Suisse, conformément à l'art. 64 al. 1 let. c LEtr. En outre, l'instance inférieure était fondée à ordonner l'exécution de cette mesure, dès lors que l'intéressé n'a pas démontré l'existence d'obstacles à son retour Gambie et que le dossier ne fait pas non plus apparaître que l'exécution de ce renvoi serait impossible, illicite ou inexigible au sens de l'art. 83 al. 2 à 4 LEtr.</w:t>
      </w:r>
    </w:p>
    <w:p>
      <w:r>
        <w:rPr>
          <w:b/>
        </w:rPr>
        <w:t>E. 12</w:t>
      </w:r>
    </w:p>
    <w:p>
      <w:r>
        <w:t>Le Tribunal relève enfin, s'agissant de la requête du recourant tendant à son éventuelle audition au sujet des faits allégués, que l'état de fait pertinent apparaît suffisamment établi par les pièces des dossiers afférant à la présente cause et qu'il peut donc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jurisprudence citée ; arrêts du Tribunal administratif fédéral C-8189/2010 du 6 novembre 2012 consid. 8.2 et références citées et C-1721/2011 du 28 mars 2012 consid. 7 et jurisprudence citée).</w:t>
      </w:r>
    </w:p>
    <w:p>
      <w:r>
        <w:rPr>
          <w:b/>
        </w:rPr>
        <w:t>E. 13.1</w:t>
      </w:r>
    </w:p>
    <w:p>
      <w:r>
        <w:t>Il ressort de ce qui précède que, par sa décision du 17 juillet 2017, l'autorité inférieure n'a ni violé le droit fédéral ni constaté des faits pertinents de manière inexacte ou incomplète; en outre, cette décision n'est pas inopportune (art. 49 PA). En conséquence, le recours est rejeté. Par décision incidente du 2 novembre 2017, le Tribunal a mis le recourant au bénéfice de l'assistance judiciaire totale et a désigné Me Maxime Crisinel en qualité d'avocat d'office pour la présente procédure, en application de l'art. 65 al. 1 et 2 PA. Il convient en conséquence de dispenser le recourant du paiement des frais de procédure et d'allouer à son défenseur d'office une indemnité à titre d'honoraires pour les frais indispensables et relativement élevés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w:t>
      </w:r>
    </w:p>
    <w:p>
      <w:r>
        <w:rPr>
          <w:b/>
        </w:rPr>
        <w:t>E. 13.2</w:t>
      </w:r>
    </w:p>
    <w:p>
      <w:r>
        <w:t>Le Tribunal de céans relève que, même si le montant maximum octroyé, dans le canton de Vaud, dans le cadre de l'assistance judiciaire, est de Fr. 180.- par heure (cf. art. 2 al. 1 du règlement sur l'assistance judiciaire en matière civile [RAJ/VD; RSV 211.02.3]; cf. également ATF 137 III 185 consid. 5.1 et la jurisprudence citée), l'art. 10 FITAF, en lien avec l'art. 12 FITAF, prévoit que le tarif horaire des avocats est de Fr. 200.- au moins et de Fr. 400.- au plus. Au vu de ce qui précède, le Tribunal administratif fédéral estime en l'espèce justifié de fixer le tarif à Fr. 200.- de l'heure. Me Maxime Crisinel, avocat d'office désigné, a transmis au Tribunal, le 17 mai 2018, un premier décompte pour ses prestations du 14 septembre 2017 au 17 mai 2018, décompte s'élevant à Fr. 2'229.20 (1'678.- + 551.20, TVA et frais de dossier inclus), pour un temps total de « 10h34 ». Il a ensuite adressé au Tribunal, le 7 mars 2019, un deuxième décompte pour ses prestations du 25 juin 2018 au 25 février 2019, décompte s'élevant à Fr. 1'894.36 (TVA et frais de dossier inclus) pour un temps total de « 9h46 ».</w:t>
      </w:r>
    </w:p>
    <w:p>
      <w:r>
        <w:rPr>
          <w:b/>
        </w:rPr>
        <w:t>E. 13.3</w:t>
      </w:r>
    </w:p>
    <w:p>
      <w:r>
        <w:t>Le Tribunal constate à cet égard que le travail du représentant du recourant a consisté pour l'essentiel dans la rédaction du mémoire de recours du 14 septembre 2017 (vingt pages), d'une lettre du 26 octobre 2017 accompagnant les pièces relatives à la demande d'assistance judiciaire, d'une réplique du 5 janvier 2018, ainsi que de correspondances du 19 janvier 2018, du 28 février 2018, du 8 mars 2018, du 27 avril 2018, du 17 mai 2018, du 23 juillet 2018, puis de déterminations complémentaires du 10 janvier 2019 et du 8 février 2019. Tout en tenant compte d'autres actes nécessaires à la défense des intérêts du recourant (conférences et courriels du conseil avec son mandant, courriels à d'autres autorités), le Tribunal considère néanmoins que le nombre total de 20 heures et 20 minutes retenu dans les décomptes adressés au Tribunal est quelque peu excessif. Au vu de de l'ensemble des circonstances du cas, en particulier de l'importance de l'affaire, du degré de difficulté de cette dernière, de l'ampleur du travail accompli par le mandataire et du tarif horaire de 200 francs retenu par le Tribunal, une indemnité d'un montant de 3'400 francs, correspondant à 15 heures d'activité (plus frais et débours arrondis) et couvrant l'ensemble des frais de représentation au sens de l'art. 9 al. 1 let. a à c FITAF (à savoir les honoraires d'avocat, les frais encourus et la TVA), apparaît justifiée. Dans ce contexte, on précisera que ce montant se situe dans le cadre des dépens octroyés par le Tribunal en droit des migrations. Le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