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F-5277/2023 vom 13. März 2024</w:t>
      </w:r>
    </w:p>
    <w:p>
      <w:r>
        <w:t>Bundesverwaltungsgericht, 2024-03-13, FR</w:t>
      </w:r>
    </w:p>
    <w:p>
      <w:r>
        <w:rPr>
          <w:b/>
        </w:rPr>
        <w:t xml:space="preserve">Quelle: </w:t>
      </w:r>
      <w:r>
        <w:t>https://mcp.opencaselaw.ch/entscheid/bvger_F-5277_2023</w:t>
      </w:r>
    </w:p>
    <w:p>
      <w:r>
        <w:t>FR: TAF F-5277/2023 du 13 mars 2024</w:t>
      </w:r>
    </w:p>
    <w:p>
      <w:r>
        <w:t>IT: TAF F-5277/2023 del 13 marzo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de manière définitive (art. 1 al. 2 LTAF en relation avec l'art. 83 let. c ch. 1 LTF).</w:t>
      </w:r>
    </w:p>
    <w:p>
      <w:r>
        <w:rPr>
          <w:b/>
        </w:rPr>
        <w:t>E. 1.2</w:t>
      </w:r>
    </w:p>
    <w:p>
      <w:r>
        <w:t>A moins que la LTAF n’en dispose autrement, la procédure devant le Tribunal est régie par la PA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sa visite soient échues (art. 48 al. 1 PA ; cf., dans ce sens, arrêt du TAF F-5570/2022 du 1er septembre 2023 consid. 1.2). Présenté dans la forme et les délais prescrits par la loi,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w:t>
      </w:r>
    </w:p>
    <w:p>
      <w:r>
        <w:t>F-5277/2023 Page 4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80 consid. 2.5 ; ATAF 2018 VII/5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w:t>
      </w:r>
    </w:p>
    <w:p>
      <w:r>
        <w:t>F-5277/2023 Page 5 de droit à l'entrée dans l'Espace Schengen, ni de droit à l'octroi d'un visa (cf. ATAF 2018 VII/5 consid. 3.1 et les réf. citées).</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s.).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Le règlement (UE) 2018/1806 du Parlement européen et du Conseil du 14 novembre 2018 fixant la liste des pays tiers dont les ressortissants sont soumis à l'obligation de visa pour franchir les frontières extérieures des États membres et la liste de ceux dont les ressortissants sont exemptés de cette obligation (JO L 303 du 28 novembre 2018, p. 39-58) différencie, en son art. 1, les ressortissants des Etats tiers selon qu'ils sont soumis ou non à l’obligation du visa. Comme ressortissant togolais, le recourant est soumis à l’obligation du visa (art. 8 al. 1 OEV, qui renvoie à l’annexe I ch. 1 du règlement 2018/1806 susmentionné).</w:t>
      </w:r>
    </w:p>
    <w:p>
      <w:r>
        <w:t>F-5277/2023 Page 6</w:t>
      </w:r>
    </w:p>
    <w:p>
      <w:r>
        <w:rPr>
          <w:b/>
        </w:rPr>
        <w:t>E. 4.1</w:t>
      </w:r>
    </w:p>
    <w:p>
      <w:r>
        <w:t>Dans sa décision du 7 septembre 2023, l’autorité inférieure a confirmé le refus d’autorisation d’entrée dans l’Espace Schengen prononcé à l’encontre de l’intéressé par la Représentation suisse, au motif que, même en supposant que les informations relatives à l’objet et aux conditions de séjour soient fiables, le retour au Togo à l’échéance du visa sollicité n’était pas assuré et qu’il existait des doutes raisonnables quant à la volonté du recourant sur ce point. Elle a en particulier retenu que l’intéressé, jeune et célibataire, n’avait pas démontré sa situation financière réelle et qu’il était impossible de déterminer si son niveau de vie était stable et appréciable. Par ailleurs, l’autorité inférieure a considéré que les attaches de l’intéressé avec son pays d’origine n’étaient pas si contraignantes qu’un retour au pays à l’échéance du séjour projeté serait garanti. Enfin, elle a relevé que les autorités françaises avaient refusé deux demandes de visa en février 2018 et en avril 2023 et la Représentation suisse deux autres demandes en 2018 et janvier 2023.</w:t>
      </w:r>
    </w:p>
    <w:p>
      <w:r>
        <w:rPr>
          <w:b/>
        </w:rPr>
        <w:t>E. 4.2</w:t>
      </w:r>
    </w:p>
    <w:p>
      <w:r>
        <w:t>A l’appui de son recours, l’intéressé a, en substance, soutenu être célibataire mais père d’un enfant mineur entièrement à sa charge, gérer plusieurs établissements en qualité de promoteur, dont deux restaurants et deux immeubles, ainsi qu’un patrimoine financier professionnel. Il a également estimé avoir démontré que le but et les conditions de son séjour de manière fiable. Enfin, il a rappelé que l’organisation à but non lucratif dont il assumait la présidence fournissait des bourses aux étudiants togolais pour étudier en Suisse depuis plusieurs années.</w:t>
      </w:r>
    </w:p>
    <w:p>
      <w:r>
        <w:rPr>
          <w:b/>
        </w:rPr>
        <w:t>E. 5.1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rPr>
          <w:b/>
        </w:rPr>
        <w:t>E. 5.2</w:t>
      </w:r>
    </w:p>
    <w:p>
      <w:r>
        <w:t>Cela étant, lorsque l'autorité examine si la personne présente les garanties nécessaires en vue d'une sortie de Suisse dans les délais impartis (au sens de l'art. 5 al. 2 LEI), elle ne peut le faire que sur la base</w:t>
      </w:r>
    </w:p>
    <w:p>
      <w:r>
        <w:t>F-5277/2023 Page 7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 F-3804/2022 du 19 juin 2023 consid. 5.1).</w:t>
      </w:r>
    </w:p>
    <w:p>
      <w:r>
        <w:rPr>
          <w:b/>
        </w:rPr>
        <w:t>E. 6.1</w:t>
      </w:r>
    </w:p>
    <w:p>
      <w:r>
        <w:t>En l’occurrence, au vu de la situation socio-économique prévalant au Togo, le Tribunal ne saurait, de prime abord, écarter les craintes émises par l’autorité intimée de voir le recourant prolonger son séjour en Suisse au-delà de la date d’échéance du visa sollicité. En effet, le produit intérieur brut (PIB) par habitant a été calculé à 942,6 USD pour le Togo en 2022, demeurant ainsi très en dessous des standards européens et notamment de celui de la Suisse pour la même période (93'259,9 USD ; cf. site internet de la Banque mondiale, www.banquemondiale.org &gt; naviguer par indicateur &gt; PIB par habitant, consulté en mars 2024). Par ailleurs, le pays a fait face à une inflation de 8% en 2022 (cf. site internet de la Banque mondiale, www.banquemondiale.org &gt; naviguer par indicateur &gt; Inflation, prix à la consommation [% annuel], consulté en mars 2024) et 45,5% de la population vivait en dessous du seuil de pauvreté national en 2018 (cf. site internet de la Banque mondiale, www.banquemondiale.org &gt; naviguer par pays &gt; Togo, consulté en mars 2024). En outre, l’indice de développement humain (IDH) 2021, qui prend en compte la santé, l’éducation et le niveau de vie, classe le Togo en 162e position sur 189, soit très loin des standards de l’Europe occidentale (cf.</w:t>
      </w:r>
    </w:p>
    <w:p>
      <w:r>
        <w:t>F-5277/2023 Page 8 site internet du Programme des Nations Unies pour le développement, www.hdr.undp.org/ &gt; Togo, consulté en mars 2024). Sur le plan de la sécurité, le Département fédéral des affaires étrangères fait état d’une criminalité élevée, de plus en plus souvent accompagnée de violences, ainsi que d’une situation sociale tendue, malgré des phases d’apaisement. Ainsi, des débordements violents et des affrontements entre manifestants et forces de l’ordre peuvent se produire, le risque d’attentat et d’enlèvement ayant par ailleurs augmenté (cf. site internet du DFAE, www.eda.admin.ch &gt; Représentations et conseils aux voyageurs &gt; Togo &gt; Conseils aux voyageurs, consulté en mars 2024). Le Tribunal ne saurait omettre que les importantes disparités socio- économiques existant entre le Togo et la Suisse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F-2502/2023 du 14 décembre 2023, consid. 6.1).</w:t>
      </w:r>
    </w:p>
    <w:p>
      <w:r>
        <w:rPr>
          <w:b/>
        </w:rPr>
        <w:t>E. 6.2</w:t>
      </w:r>
    </w:p>
    <w:p>
      <w:r>
        <w:t>Cela étant, le Tribunal ne saurait se fonder sur la seule situation prévalant au Togo pour conclure à l’absence de garantie quant à la sortie de l’intéressé de l’Espace Schengen à l’issue de la durée de validité du visa convoité, mais doit également prendre en considération les particularités du cas d’espèce. Ainsi, si l’intéressé assume d’importantes responsabilités dans sa patrie (au plan professionnel, social et/ou familial),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(ATAF 2014/1 consid. 6.3.1 ; arrêt du TAF F-1240/2023 du 13 septembre 2023 consid. 7.2).</w:t>
      </w:r>
    </w:p>
    <w:p>
      <w:r>
        <w:rPr>
          <w:b/>
        </w:rPr>
        <w:t>E. 6.3</w:t>
      </w:r>
    </w:p>
    <w:p>
      <w:r>
        <w:t>Il convient dès lors d’examiner si la situation personnelle, familiale et professionnelle de l’intéressé plaide en faveur de sa sortie ponctuelle de Suisse (respectivement de l’Espace Schengen) au terme du séjour envisagé.</w:t>
      </w:r>
    </w:p>
    <w:p>
      <w:r>
        <w:rPr>
          <w:b/>
        </w:rPr>
        <w:t>E. 6.3.1</w:t>
      </w:r>
    </w:p>
    <w:p>
      <w:r>
        <w:t>En l’occurrence, il ressort du mémoire de recours et du dossier de l’autorité inférieure que le recourant, âgé de 39 ans, est père d’un enfant né en 2018. Cela étant, bien que l’intéressé ait affirmé que son fils était</w:t>
      </w:r>
    </w:p>
    <w:p>
      <w:r>
        <w:t>F-5277/2023 Page 9 entièrement à sa charge, il n’a fourni aucune preuve allant dans ce sens. En effet, le seul document présent au dossier est l’acte de naissance de l’enfant, duquel il ressort que les parents ne sont pas mariés. Par ailleurs, le recourant lui-même se présentant comme célibataire, il convient de retenir qu’il n’est pas ou plus en couple avec la mère de son fils. Dès lors, dans la mesure où l’intéressé n’a fourni aucune indication sur les modalités de garde et d’entretien de son fils, le Tribunal constate qu’il n’est pas démontré à satisfaction de droit que celui-ci prend effectivement en charge son enfant, pas plus que l’existence d’une relation effective entre eux. Pour le surplus, l’intéressé n’a pas prétendu entretenir d’autres relations, amicales ou affectives d’une certaine intensité dans son pays d’origine. Ainsi, force est de constater que celui-ci serait en mesure de se créer une nouvelle existence hors de sa patrie, sans que cela n’entraîne pour lui de difficultés majeures.</w:t>
      </w:r>
    </w:p>
    <w:p>
      <w:r>
        <w:rPr>
          <w:b/>
        </w:rPr>
        <w:t>E. 6.3.2</w:t>
      </w:r>
    </w:p>
    <w:p>
      <w:r>
        <w:t>Par ailleurs, les déclarations du recourant concernant son activité professionnelle ne sont pas davantage susceptibles de représenter un facteur déterminant dans l’appréciation du cas. En effet, il a, pour l’essentiel, fourni des documents en lien avec les finances de l’organisation à but non lucratif qu’il préside et non avec les siennes propres. Le seul bulletin de paie qu’il a produit fait état d’un salaire brut de 690'000.- francs CFA, soit 1'009.- francs CHF, sans qu’il ne soit possible de déterminer la période concernée par ce revenu. En effet, ce même montant est indiqué aussi bien dans la catégorie « période », relative au mois d’avril 2024 et représentant 173 heures travaillées, que dans la catégorie « année », représentant 693 heures travaillées. Cette divergence ne permet ainsi pas de déterminer quel est précisément le revenu de l’intéressé en lien avec l’organisation à but non lucratif qu’il préside, étant encore précisé que, bien qu’il ait affirmé posséder des biens et diriger deux restaurants, il n’a fait aucune mention d’éventuels revenus tirés de ces activités. De même, les affirmations de l’intéressé relatives à sa situation patrimoniale ne sont pas non plus de nature à représenter un facteur déterminant dans l’appréciation du cas. En effet, sa qualité de président et fondateur d’une organisation à but non lucratif destinée à soutenir l’éducation et la culture, ainsi que de fondateur d’une école, ne signifie pas encore que sa présence sur place soit indispensable. Bien au contraire, il apparaît parfaitement possible de diriger des organismes de ce type à distance, de sorte que cet argument ne saurait venir en aide au recourant. De même, le fait qu’il possède deux biens immobiliers à Lomé ne suffit pas à venir assurer que le recourant dispose d’attaches suffisantes pour</w:t>
      </w:r>
    </w:p>
    <w:p>
      <w:r>
        <w:t>F-5277/2023 Page 10 garantir son départ de Suisse, dans la mesure où celui-ci se contente d’affirmer qu’il s’agit de deux immeubles, sans préciser son rôle dans l’administration de ceux-ci. Ce dernier raisonnement peut également être tenu s’agissant des deux restaurants qu’il affirme diriger, sans pour autant le démontrer.</w:t>
      </w:r>
    </w:p>
    <w:p>
      <w:r>
        <w:rPr>
          <w:b/>
        </w:rPr>
        <w:t>E. 6.3.3</w:t>
      </w:r>
    </w:p>
    <w:p>
      <w:r>
        <w:t>Compte tenu de ces différentes considérations, il n’apparaît pas nécessaire d’approfondir la question d’une éventuelle contradiction entre les dates des vols et celles de l’hébergement du recourant, pas plus que la question de l’assurance contractée pour la durée de son voyage telle que retenue par la Représentation suisse.</w:t>
      </w:r>
    </w:p>
    <w:p>
      <w:r>
        <w:rPr>
          <w:b/>
        </w:rPr>
        <w:t>E. 6.4</w:t>
      </w:r>
    </w:p>
    <w:p>
      <w:r>
        <w:t>Sur le vu de ce qui précède, et sans remettre en causes les motifs avancés par le recourant à l’appui de sa demande de visa ou le soutien apporté par l’organisation à but non lucratif qu’il dirige à différents étudiants pour venir étudier en Suisse, le Tribunal estime dès lors que celui-ci n’a pas démontré qu’il disposait, dans son pays d’origine, d’attaches ou de responsabilités suffisantes pour garantir son départ de Suisse au terme du séjour envisagé. Dans ces circonstances, le Tribunal ne saurait reprocher à l'instance inférieure d'avoir confirmé le refus d'autorisation d'entrée dans l'Espace Schengen concernant le recourant.</w:t>
      </w:r>
    </w:p>
    <w:p>
      <w:r>
        <w:rPr>
          <w:b/>
        </w:rPr>
        <w:t>E. 7.1</w:t>
      </w:r>
    </w:p>
    <w:p>
      <w:r>
        <w:t>Au regard de ces éléments, l’autorité inférieure, qui dispose d’un large pouvoir d’appréciation en la matière, n’a, par sa décision du 7 septembre 2023, ni violé le droit fédéral ni constaté des faits pertinents de manière inexacte ou incomplète ; en outre, cette décision n’est pas inopportune (art. 49 PA). En conséquence, le recours est rejeté.</w:t>
      </w:r>
    </w:p>
    <w:p>
      <w:r>
        <w:rPr>
          <w:b/>
        </w:rPr>
        <w:t>E. 7.2</w:t>
      </w:r>
    </w:p>
    <w:p>
      <w:r>
        <w:t>Vu l’issue de la cause, les frais de procédure sont mis à la charge du recourant, conformément à l’art. 63 al. 1 PA en relation avec les art. 1 à 3 du règlement du 21 février 2008 concernant les frais, dépens et indemnités fixés par le Tribunal administratif fédéral (FITAF, RS 173.320.2) et de ne pas allouer de dépens (art. 64 al. 1 a contrario PA). (dispositif en page suivante)</w:t>
      </w:r>
    </w:p>
    <w:p>
      <w:r>
        <w:t>F-5277/2023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