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F-526/2025 vom 18. Februar 2025</w:t>
      </w:r>
    </w:p>
    <w:p>
      <w:r>
        <w:t>Bundesverwaltungsgericht, 2025-02-18, DE</w:t>
      </w:r>
    </w:p>
    <w:p>
      <w:r>
        <w:rPr>
          <w:b/>
        </w:rPr>
        <w:t xml:space="preserve">Quelle: </w:t>
      </w:r>
      <w:r>
        <w:t>https://mcp.opencaselaw.ch/entscheid/bvger_F-526_2025</w:t>
      </w:r>
    </w:p>
    <w:p>
      <w:r>
        <w:t>FR: TAF F-526/2025 du 18 février 2025</w:t>
      </w:r>
    </w:p>
    <w:p>
      <w:r>
        <w:t>IT: TAF F-526/2025 del 18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 nach erfolgter Beschwerdeverbesserung sowie angesichts des Umstandes, dass die Eingabe vom 24. Januar 2025 die Originalunterschrift der Beschwerdeführerin 1 aufweist -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20 Abs. 5 Dublin-III-VO grundsätzlich Kroatien für die Behandlung der Asylgesuche der Beschwerdeführenden zuständig ist, dass das kroatische Asylsystem rechtsprechungsgemäss keine systemischen Mängel aufweist (vgl. Urteil des BVGer E-1488/2020 vom 22. März 2023 [als Referenzurteil publiziert] E. 9.5),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Dabei hat sie insbesondere die Vorbringen der Beschwerdeführenden im Hinblick auf das angebliche Fehlverhalten einzelner kroatischer Sicherheitskräfte berücksichtigt und rechtsprechungskonform gewürdigt (vgl. jüngst Urteile des BVGer F-397/2025 vom 28. Januar 2025 E. 2.1; F-290/2025 vom 22. Januar 2025 E. 5.1).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Beschwerdeführenden nicht eingetreten und hat in Anwendung von Art. 44 AsylG ihre Wegweisung nach Kroatien angeordnet. Zur näheren Begründung ist auf die ausführlichen vorinstanzlichen Erwägungen zu verweisen.</w:t>
      </w:r>
    </w:p>
    <w:p>
      <w:r>
        <w:rPr>
          <w:b/>
        </w:rPr>
        <w:t>E. 2.2</w:t>
      </w:r>
    </w:p>
    <w:p>
      <w:r>
        <w:t>Was die Beschwerdeführenden auf Rechtsmittelebene dagegen vorbringen, vermag nichts an der Richtigkeit der angefochtenen Verfügung zu ändern. Bei Beschwerden gegen Nichteintretensentscheide, mit denen es die Vorinstanz ablehnt, das Asylgesuch auf seine Begründetheit hin zu überprüfen (Art. 31a Abs. 1 AsylG), ist die Beurteilungskompetenz des Gerichts grundsätzlich auf die Frage beschränkt, ob die Vorinstanz zu Recht auf das Asylgesuch nicht eingetreten ist (vgl. BVGE 2017 VI/5 E. 3.1; 2012/4 E. 2.2, je m.w.H.). Es erübrigt sich demnach, auf die in der Beschwerde geschilderten Vorkommnisse in der Türkei einzugehen. Dem Einwand der Beschwerdeführenden, sie seien in Kroatien zur Abgabe ihrer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Im Weiteren ist in Bezug auf die Vorbringen betreffend schlechte Bedingungen respektive traumatisierende Erlebnisse in Kroatien anzumerken, dass Kroatien Signatarstaat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der Beschwerdeführenden nicht den Schluss zu, sie hätten bei einer Überstellung nach Kroatien mit hoher Wahrscheinlichkeit eine unmenschliche oder erniedrigende Behandlung im Sinne von Art. 3 EMRK zu gewärtigen. Sollten sie nach ihrer Rückkehr von Behördenvertretern rechtswidrig behandelt werden, haben sie sich an das kroatische Justizwesen oder die dortigen Aufsichtsbehörden zu wenden.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[Aufnahmerichtlinie]). Schliesslich ist daran zu erinnern, dass weder die Dublin-III-VO noch andere völkerrechtliche Bestimmungen ein Recht einräumen, den für die Durchführung des Asylverfahrens zuständigen Staat selber frei zu wählen. Namentlich folgt auch aus der Kinderrechtskonvention kein Anspruch auf Aufenthalt im Staat mit den für ein Kind vorteilhaftesten Lebensbedingungen (vgl. BGE 143 I 21 E. 5.5.2; BVGE 2017 VI/7 E. 6.2; statt vieler Urteil des BVGer F-542/2025 vom 4. Februar 2025 E. 2.2 und E. 4).</w:t>
      </w:r>
    </w:p>
    <w:p>
      <w:r>
        <w:rPr>
          <w:b/>
        </w:rPr>
        <w:t>E. 3</w:t>
      </w:r>
    </w:p>
    <w:p>
      <w:r>
        <w:t>Nach dem Gesagten ist die angefochtene Verfügung nicht zu beanstanden (Art. 106 AsylG). Die Beschwerde ist abzuweisen. Mit dem vorliegenden Urteil fällt der angeordnete Vollzugsstopp dahin.</w:t>
      </w:r>
    </w:p>
    <w:p>
      <w:r>
        <w:rPr>
          <w:b/>
        </w:rPr>
        <w:t>E. 4</w:t>
      </w:r>
    </w:p>
    <w:p>
      <w:r>
        <w:t>Bei diesem Verfahrensausgang sind die Verfahrenskosten den unterliegenden Beschwerdeführenden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