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F-526/2022 vom 26. Januar 2022</w:t>
      </w:r>
    </w:p>
    <w:p>
      <w:r>
        <w:t>Bundesverwaltungsgericht, 2022-01-26, FR</w:t>
      </w:r>
    </w:p>
    <w:p>
      <w:r>
        <w:rPr>
          <w:b/>
        </w:rPr>
        <w:t xml:space="preserve">Quelle: </w:t>
      </w:r>
      <w:r>
        <w:t>https://mcp.opencaselaw.ch/entscheid/bvger_F-526_2022_d20220126</w:t>
      </w:r>
    </w:p>
    <w:p>
      <w:r>
        <w:t>FR: TAF F-526/2022 du 26 janvier 2022</w:t>
      </w:r>
    </w:p>
    <w:p>
      <w:r>
        <w:t>IT: TAF F-526/2022 del 26 gennaio 2022</w:t>
      </w:r>
    </w:p>
    <w:p>
      <w:pPr>
        <w:pStyle w:val="Heading2"/>
      </w:pPr>
      <w:r>
        <w:t>Regeste</w:t>
      </w:r>
    </w:p>
    <w:p>
      <w:r>
        <w:t>Asile (non-entr&amp;eacute;e en mati&amp;egrave;re / proc&amp;eacute;dure Dublin) et renvoi | Asile (non-entrée en matière / procédure Dublin) et renvoi; décision du SEM du 26 janvier 2022</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cela n'est manifestement pas le cas en Allemagne, que, partant, l'application de cette disposition ne se justifie pas en l'espèce, l’intéressé ne le soutenant du reste pas, qu’en revanche, le recourant s'est opposé à son transfert vers l’Allemagne, en faisant valoir, en substance, qu’il n’avait pas voulu demander l’asile sur place, mais désirait vivre auprès de sa sœur en Suisse, laquelle en avait par ailleurs la nationalité, que, ce faisant, il a implicitement sollicité l'application de la clause discrétionnaire prévue à l'art. 17 par. 1 du règlement Dublin III (clause de souveraineté),</w:t>
      </w:r>
    </w:p>
    <w:p>
      <w:r>
        <w:t>F-526/2022 Page 7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 que, s’agissant tout d’abord de la présence de la sœur de l’intéressé et de la famille de celle-ci en Suisse, l’art. 8 CEDH peut conférer un droit de séjour en Suisse à un étranger à condition qu’il entretienne des relations étroites, effectives et intactes avec un membre de sa famille disposant d’un droit de présence assuré en Suisse, qu’à cet égard, les relations familiales protégées sont avant tout celles existant au sein de la famille au sens étroit (famille nucléaire) et, plus particulièrement, entre époux ou entre parents et enfants mineurs vivant en ménage commun, qu’en cas d’intensité suffisante, les relations entre proches parents, tels les frères et sœurs, peuvent aussi tomber dans le champ d’application de la disposition précitée lorsqu’il y a un rapport de dépendance particulier dépassant les relations familiales, respectivement les liens émotionnels, usuels, par exemple en raison d'un handicap ou d'une maladie graves nécessitant une prise en charge permanente (cf. ATF 144 II 1 consid. 6.1 et jurisp. cit. ; ATAF 2007/45 consid. 5.3 et jurisp. cit.), qu’en l’espèce, le recourant a certes exposé que sa sœur était la seule personne en mesure de le soutenir eu égard à son état de santé psychique, que ses allégations se limitent toutefois à de simples affirmations, tant en ce qui concerne l’intensité des liens avec sa sœur qu’en relation avec ses troubles psychologiques, qu’il ne ressort ainsi pas du dossier que la relation entre l’intéressé, un jeune homme majeur, et sa sœur reflète des liens personnels étroits et</w:t>
      </w:r>
    </w:p>
    <w:p>
      <w:r>
        <w:t>F-526/2022 Page 8 puisse être assimilée à un rapport de dépendance particulier au sens de la jurisprudence précitée, que, dans ces conditions, le recourant ne peut se prévaloir d'une vie familiale protégée par l'art. 8 CEDH et son transfert vers l’Allemagne n'emporte pas violation de ladite disposition,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s'agissant des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rien ne permet d'inférer qu'au vu des troubles évoqués lors de l’entretien Dublin, à savoir des difficultés respiratoires et des douleurs à la poitrine, au colon, à la tête et derrière les yeux, et des atteintes psychologiques alléguées à l’appui du recours, A._______ ne serait pas apte à voyager ou que son transfert en Allemagne représenterait un danger concret pour sa santé, qu'à cet égard, même si le prénommé a exposé, dans son recours, que son état de santé psychique était suivi par un spécialiste, il ne ressort pas du dossier que les affections précitées feraient actuellement l'objet d'un</w:t>
      </w:r>
    </w:p>
    <w:p>
      <w:r>
        <w:t>F-526/2022 Page 9 traitement particulier ou qu'un éventuel traitement prescrit ne serait pas disponible en Allemagne, un pays qui dispose à l’évidence de structures médicales comparables à la Suisse (cf. arrêt du TAF F-176/2022 du 17 janvier 2022 et jurisp. cit.), qu'en tout état de cause,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du recourant n'apparaissaient pas d'une gravité telle que son transfert en Allemagne serait illicite au sens restrictif de la jurisprudence précitée, que, dans le cas où l'intéressé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par ailleurs, l'intéressé n'a pas démontré l'existence d'un risque concret et avéré que les autorités allemandes refuseraient de le reprendre en charge – alors qu'elles ont expressément accepté la requête à cet effet du SEM – et de mener à terme l'examen de sa demande de protection, en violation de la directive Procédure, qu'il n'a en particulier fourni aucun élément concret susceptible de démontrer que l’Allemagne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qu'en outre, l'intéressé n'a pas démontré que ses conditions d'existence dans ce pays revêtiraient un tel degré de pénibilité et de gravité qu'elles seraient constitutives d'un traitement contraire à l'art. 3 CEDH ou encore à l'art. 3 Conv. torture,</w:t>
      </w:r>
    </w:p>
    <w:p>
      <w:r>
        <w:t>F-526/2022 Page 10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 après son transfert en Allemagne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w:t>
      </w:r>
    </w:p>
    <w:p>
      <w:r>
        <w:t>F-526/2022 Page 11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w:t>
      </w:r>
    </w:p>
    <w:p>
      <w:r>
        <w:t>(dispositif page suivante)</w:t>
      </w:r>
    </w:p>
    <w:p>
      <w:r>
        <w:t>F-526/2022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