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F-5267/2015 vom 18. August 2016</w:t>
      </w:r>
    </w:p>
    <w:p>
      <w:r>
        <w:t>Bundesverwaltungsgericht, 2016-08-18, FR</w:t>
      </w:r>
    </w:p>
    <w:p>
      <w:r>
        <w:rPr>
          <w:b/>
        </w:rPr>
        <w:t xml:space="preserve">Quelle: </w:t>
      </w:r>
      <w:r>
        <w:t>https://mcp.opencaselaw.ch/entscheid/bvger_F-5267_2015</w:t>
      </w:r>
    </w:p>
    <w:p>
      <w:r>
        <w:t>FR: TAF F-5267/2015 du 18 août 2016</w:t>
      </w:r>
    </w:p>
    <w:p>
      <w:r>
        <w:t>IT: TAF F-5267/2015 del 18 agosto 2016</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 [RS 173.110]).</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 3.1 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communautaire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règlement (UE) n° 610/2013 précité a encore inséré un paragraphe 1bis à l'art. 5 du règlement (CE) n° 562/2006, dont la teneur est la suivante: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Etats membres. 3.2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 3.3 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 4.1 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 4.2 Conformément à l'art. 67 al. 1 LEtr, le SEM interdit l'entrée en Suisse, sous réserve de l'al. 5, à un étranger frappé d'une décision de renvoi, lorsque le renvoi est immédiatement exécutoire en vertu de l'art. 64d, al. 2, let. a à c LEtr (let. a), ou lorsque l'étranger n'a pas quitté la Suisse dans le délai imparti (let. b). 4.3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4.4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de la Convention d'application de l'accord de Schengen [CAAS, JO L 239 du 22 septembre 2000 pp. 19 à 62]; cf. également l'art. 14 par. 1, en relation avec l'art. 6 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C-6801/2010 du 1er avril 2011 consid. 4 et C-1667/2010 du 21 mars 2011 consid. 3.3). 4.5 4.5.1 Concernant plus spécifiquement les notions de sécurité et d'ordre publics (art.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4.5.2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4.5.3 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arrêts du TAF C-5001/2014 du 30 juin 2015 consid. 4.3.3, C-847/2013 du 21 mars 2014 consid. 5.3.3, avec jurispr. cit.). 4.5.4 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 5.1 En l'occurrence, l'autorité intimée a prononcé le 30 juin 2015 à l'encontre de A._______ une décision d'interdiction d'entrée en Suisse d'une durée de trois ans, aux motifs, que le prénommé a fait l'objet d'une décision de renvoi de Suisse, dont l'exécution a été garantie par une mise en détention en vue de l'exécution et qu'il a attenté à la sécurité et à l'ordre publics au sens de l'art. 67 LEtr en entrant dans l'Espace Schengen, en particulier en Suisse, sans être en possession du visa requis, en y séjournant et en y travaillant sans être au bénéfice d'une autorisation de séjour idoine. 5.2 Par décision du 29 juin 2015, le Service de la population et des migrations du canton du Valais a prononcé le renvoi de Suisse de A._______ avec exécution immédiate, en retenant notamment que des indices concrets faisaient craindre que le prénommé entende se soustraire à l'exécution du renvoi (cf. art. 64 d al. 2 let. b LEtr). Au regard de l'art. 67 al.1 let. a LEtr, dite décision fondait déjà le SEM à prononcer une interdiction d'entrée à l'encontre de l'intéressé. 5.3 5.3.1 Comme mentionné ci-dessus (cf. consid. 3.1), l'art. 5 al. 1 LEtr, dont le contenu coïncide avec l'art. 6 par. 1 du code frontières Schengen, stipule que pour entrer en Suisse, tout étranger doit avoir une pièce de légitimation reconnue pour le passage de la frontière et être muni d'un visa si ce dernier est requis. Reprenant le contenu de l'art. 6 par. 1 du code frontières Schengen, l'art. 4 al. 1 OEV stipule que les ressortissants des Etats énumérés à l'annexe I du Règlement (CE) no 539/2001 sont soumis à l'obligation de visa pour l'entrée en vue d'un séjour d'une durée n'excédant pas 90 jours. L'art. 4 al. 2 let. a OEV précise que les titulaires d'un document de voyage valable et reconnu, ainsi que d'un titre de séjour valable délivré par un Etat (Etat Schengen) lié par l'un des accords d'association à Schengen (art. 6, par.1, let. b, et art. 39, par.1, let. a du code frontières Schengen), sont libérés de l'obligation de visa. En tant que ressortissant du Kosovo, A._______ est soumis à l'obligation de visa, que son séjour soit inférieur ou supérieur à 90 jours (cf. sur cette problématique, le site internet du SEM: www.sem.admin.ch &gt; Entrée &amp; séjour &gt; Entrée &gt; Directives Visas &gt; VII. Visas &gt; Séjour jusqu'à 90 jours &gt; Manuel des visas I et complément du SEM &gt; Annexe 1, liste 1: Prescriptions documents de voyage et de visas selon nationalité &gt; Kosovo; version du 2 août 2016; site internet consulté en août 2016). 5.3.2 En l'espèce, force est de constater que lors de son audition du 27 juin 2015 par la Police cantonale valaisanne, A._______ a reconnu qu'il était entré en Suisse en janvier 2015 à l'aide de passeurs et qu'il séjournait depuis lors illégalement chez son père à Bex. Quant à son activité durant son séjour, il a contesté avoir exercé une activité lucrative en Suisse, tout en reconnaissant qu'il était allé rendre visite à des cousins, propriétaire d'un garage à X._______, et qu'il les avait aidé de temps en temps, ceux-ci l'ayant rétribué en lui donnant au maximum 500 francs. Par ailleurs, il a mentionné qu'il nettoyait parfois le garage. 5.3.3 Dans son mémoire de recours, le recourant reconnaît être entré et avoir séjourné illégalement en Suisse, mais minimise son comportement en indiquant qu'ayant effectué un stage dans une entreprise au Kosovo, en parallèle à ses études, il ne serait venu en Suisse chez son père que le 14 juin 2015 et qu'il n'aurait pas travaillé à cette occasion. C'est le lieu de rappeler toutefois que selon les prescriptions relatives au séjour et à la prise d'emploi en Suisse (cf. notamment l'art. 11 al. 2 LEtr), est considéré comme une activité lucrative toute activité salariée ou indépendante qui procure normalement un gain, même si elle est exercée gratuitement. Cette activité peut être exercée à l'heure, à la journée ou à titre temporaire (cf. art. 1a OASA). En l'espèce, entendu le 27 juin 2015 avec l'appui d'un traducteur, A._______ a expressément reconnu être entré en Suisse en janvier 2015 et avoir travaillé occasionnellement au garage de ses cousins en leur donnant des coups de mains et en ayant été rémunéré pour cette activité pour un montant de 500 francs maximum. Ces éléments de faits permettent sans autre au Tribunal de qualifier d'activité lucrative l'occupation exercée, la durée du séjour en Suisse important peu dans ce contexte (cf. arrêt du TAF C-30/2013 du 31 décembre 2013, consid. 5.2). Il convient donc de relever en conséquence que l'intéressé n'a pas respecté la législation en vigueur en l'état. Certes, par ordonnance pénale du 30 septembre 2015, le Ministère public du canton du Valais, bien qu'ayant condamné A._______ pour séjour illégal (art. 115 al. 1 let. b LEtr) à une peine pécuniaire de 50 jours-amende avec sursis pendant 2 ans et à une amende de 300 francs, n'a pas retenu le travail illégal à son endroit. Cela étant,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Il s'ensuit que l'autorité administrative n'est pas liée par la décision prise en matière pénale; en se fondant sur des critères d'appréciation qui lui sont propres, elle peut donc être amenée à déduire de circonstances identiques d'autres conséquences que l'autorité pénale, même plus rigoureuses (cf. arrêt du TAF C-306/2014 du 16 avril 2015 consid. 7.2, ATF 130 II 493 consid. 4.2 et jurisprud. cit.). 5.4 C'est le lieu de rappeler qu'il existe deux régimes juridiques différents concernant le prononcé des interdictions d'entrée, selon que l'intéressé est ressortissant d'un état de l'Union européenne ou d'un état tiers. En l'occurrence, A._______ est un ressortissant kosovar, soit un état tiers, de sorte que le prononcé querellé s'examine à l'aune de la LEtr,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 5.5 Compte tenu de ce qui précède, force est d'admettre que l'interdiction d'entrée prononcée le 30 juin 2015 en application de l'art. 67 al. 1 let. a et 67 al. 2 let. a LEtr est parfaitement justifiée dans son principe, A._______ ayant fait l'objet d'une décision de renvoi de Suisse immédiatement exécutoire (cf. consid. 5.2 supra) et attenté à la sécurité et à l'ordre publics par son comportement. A cet égard, il sied de rappeler (cf. consid. 4.5.2 supra) qu'aux termes de l'art. 80 al. 1 let. a OASA, il y a notamment atteinte à la sécurité et à l'ordre publics en cas de violation de prescriptions légales ou de décisions d'autorités. Or, comme évoqué ci-avant, tel est précisément le cas en l'espèce, le fait d'entrer illégalement en Suisse, d'y séjourner sans autorisation idoine et d'y travailler constitue bien une violation des prescriptions légales.</w:t>
      </w:r>
    </w:p>
    <w:p>
      <w:r>
        <w:rPr>
          <w:b/>
        </w:rPr>
        <w:t>E. 6</w:t>
      </w:r>
    </w:p>
    <w:p>
      <w:r>
        <w:t>Il convient encore d'examiner si la mesure d'éloignement prise par l'autorité intimée satisfait aux principes de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TAF C-5001/2014 du 30 juin 2015 consid. 6.1, C-1487/2013 du 19 mai 2014 consid. 6.1 et les arrêts cités). Il importe encore de rappeler que l'autorité compétente en matière de droit des étrangers n'est pas liée par les décisions prises en matière pénale (cf. consid. 5.3.3).</w:t>
      </w:r>
    </w:p>
    <w:p>
      <w:r>
        <w:rPr>
          <w:b/>
        </w:rPr>
        <w:t>E. 6.2</w:t>
      </w:r>
    </w:p>
    <w:p>
      <w:r>
        <w:t>S'agissant de l'intérêt privé du recourant à pouvoir se déplacer librement en Suisse, il apparaît que celui-ci peut se prévaloir d'attaches familiales dans ce pays, dans lequel réside son père, son frère, ainsi que d'autres membres de sa parenté (cousins).</w:t>
      </w:r>
    </w:p>
    <w:p>
      <w:r>
        <w:rPr>
          <w:b/>
        </w:rPr>
        <w:t>E. 6.3</w:t>
      </w:r>
    </w:p>
    <w:p>
      <w:r>
        <w:t>S'agissant de l'intérêt public, il appert que les motifs retenus à l'appui de la mesure d'éloignement prise à l'endroit de A._______ (entrée illégale, séjour et travail sans autorisation, personne faisant l'objet d'une décision de renvoi immédiatement exécutoire) ne sauraient être contestés. L'infraction aux prescriptions de police des étrangers ainsi perpétrée doit être qualifiée de grave au sens indiqué plus haut (cf. consid. 4.5.3).Il convient en particulier de souligner que sans l'interpellation du 27 juin 2015, l'intéressé aurait vraisemblablement poursuivi son séjour et son activité lucrative sans autorisation en Suisse.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Tribunal C-2973/2012 du 27 juin 2013 consid. 5.3.1). Aussi, l'intérêt privé de l'intéressé (majeur et indépendant) à pouvoir se déplacer librement en Suisse ne saurait, dans ces conditions, être considéré comme prépondérant par rapport à l'intérêt public à son éloignement.</w:t>
      </w:r>
    </w:p>
    <w:p>
      <w:r>
        <w:rPr>
          <w:b/>
        </w:rPr>
        <w:t>E. 6.4</w:t>
      </w:r>
    </w:p>
    <w:p>
      <w:r>
        <w:t>Enfin, le Tribunal constate, au vu de l'ensemble du dossier, qu'il n'existe pas de raisons humanitaires ou d'autres motifs importants justifiant l'abstention ou la suspension de la mesure d'éloignement au sens de l'art. 67 al. 5 LEtr.</w:t>
      </w:r>
    </w:p>
    <w:p>
      <w:r>
        <w:rPr>
          <w:b/>
        </w:rPr>
        <w:t>E. 6.5</w:t>
      </w:r>
    </w:p>
    <w:p>
      <w:r>
        <w:t>Tenant compte de l'ensemble des éléments objectifs et subjectifs de la cause, le Tribunal conclut que la mesure d'éloignement prise par le SEM le 30 juin 2015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6.6</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7</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