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F-5253/2022 vom 21. April 2023</w:t>
      </w:r>
    </w:p>
    <w:p>
      <w:r>
        <w:t>Bundesverwaltungsgericht, 2023-04-21, DE</w:t>
      </w:r>
    </w:p>
    <w:p>
      <w:r>
        <w:rPr>
          <w:b/>
        </w:rPr>
        <w:t xml:space="preserve">Quelle: </w:t>
      </w:r>
      <w:r>
        <w:t>https://mcp.opencaselaw.ch/entscheid/bvger_F-5253_2022</w:t>
      </w:r>
    </w:p>
    <w:p>
      <w:r>
        <w:t>FR: TAF F-5253/2022 du 21 avril 2023</w:t>
      </w:r>
    </w:p>
    <w:p>
      <w:r>
        <w:t>IT: TAF F-5253/2022 del 21 aprile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Das SEM verfügt unter Vorbehalt von Absatz 5 (vgl. E. 3.2) Einreiseverbote gegenüber weggewiesenen Ausländerinnen und Ausländern, wenn die Wegweisung nach Artikel 64d Abs. 2 Buchstaben a-c sofort vollstreckt wird (Art. 67 Abs. 1 Bst. a AIG, in der hier anwendbaren, bis am 21. November 2022 gültig gewesenen Fassung vom 18. Juni 2010 [AS 2010 5925]) oder diese nicht innerhalb der angesetzten Frist ausgereist sind (Art. 67 Abs. 1 Bst. b AIG). Die Wegweisung ist gemäss 64d Abs. 2 AIG sofort vollstreckbar oder es kann eine Ausreisefrist von weniger als sieben Tagen angesetzt werden, wenn die betroffene Person eine Gefahr für die öffentliche Sicherheit und Ordnung oder die innere oder die äussere Sicherheit darstellt (Bst. a), konkrete Anzeichen befürchten lassen, dass sich die betroffene Person der Ausschaffung entziehen will (Bst. b) oder ein Gesuch um Erteilung einer Bewilligung als offensichtlich unbegründet oder missbräuchlich abgelehnt worden ist (Bst. c).</w:t>
      </w:r>
    </w:p>
    <w:p>
      <w:r>
        <w:rPr>
          <w:b/>
        </w:rPr>
        <w:t>E. 3.2</w:t>
      </w:r>
    </w:p>
    <w:p>
      <w:r>
        <w:t>Nach Art. 67 Abs. 2 Bst. a AIG (in der hier anwendbaren, bis am 21. November 2022 gültig gewesenen Fassung vom 18. Juni 2010 [AS 2010 5925]) kann das SEM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3.3</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4.1</w:t>
      </w:r>
    </w:p>
    <w:p>
      <w:r>
        <w:t>Die Vorinstanz begründet das Einreiseverbot damit, dass der Beschwerdeführer in der Schweiz erwerbstätig gewesen sei, ohne über die erforderliche ausländerrechtliche Bewilligung zu verfügen. Dies stelle einen Verstoss gegen die Einreisevoraussetzungen des Ausländerrechts dar, womit auch ein Verstoss gegen die öffentliche Sicherheit und Ordnung vorliege. Die Verfügung einer Fernhaltemassnahme zum Schutz der öffentlichen Sicherheit und Ordnung sei unabhängig von einem allfälligen Strafverfahren angezeigt. Auch unter Berücksichtigung der Stellungnahme des Beschwerdeführers im Rahmen des rechtlichen Gehörs erweise sich das Einreiseverbot als gerechtfertigt und verhältnismässig.</w:t>
      </w:r>
    </w:p>
    <w:p>
      <w:r>
        <w:rPr>
          <w:b/>
        </w:rPr>
        <w:t>E. 4.2</w:t>
      </w:r>
    </w:p>
    <w:p>
      <w:r>
        <w:t>Die angefochtene Verfügung nennt die Fakten nicht, welche zu der streitigen Massnahme geführt haben. Dies ist hier nachzuholen, wobei die Vorinstanz daran erinnert wird, dass es ihre Aufgabe als verfügende Behörde ist, Tatsachen unter Rechtsnormen zu subsumieren und entsprechende Schlussfolgerungen zu ziehen. Gemäss Rapport der Stadtpolizei St. Gallen vom 17. Oktober 2023 wurde der Beschwerdeführer auf dem (...)-Messegelände dabei beobachtet, wie er Karikaturen verkaufte. Er stellte einen mitgeführten Klappstuhl auf und richtete damit einen kleinen Stand ein. Im Rahmen der polizeilichen Einvernahme vom 17. Oktober 2022 gab er ferner an, er habe bei der Einreise in die Schweiz Fr. 500.- und EUR 35.- bei sich gehabt - rund Fr. 400.- weniger als die im Rahmen der Anhaltung bei ihm in kleiner Stückelung festgestellten Fr. 931.70.- und EUR 43.63.-. Auf die Differenz angesprochen, erklärte er, er habe nicht genau gewusst, dass er noch mehr Geld auf sich trage (SEM-act.7, pag. 114).</w:t>
      </w:r>
    </w:p>
    <w:p>
      <w:r>
        <w:rPr>
          <w:b/>
        </w:rPr>
        <w:t>E. 4.3</w:t>
      </w:r>
    </w:p>
    <w:p>
      <w:r>
        <w:t>Der Beschwerdeführer bringt vor, er habe nie beabsichtigt, «ohne Bewilligung am (...) Markt teilzunehmen» - die Person, die jeweils «direkt» die Gebühren einfordere, sei nicht auffindbar gewesen. Er habe bereits an mehreren Märkten in der Schweiz die Gebühren auf diese Weise bezahlt. Zudem habe er kein Material verkauft, «sondern eine künstlerische Tätigkeit gegen ein kleines Entgelt» angeboten bzw. Porträts gemalt. Dies stelle keine eigentliche Arbeit dar. Er habe nicht absichtlich gegen das Gesetz verstossen wollen und sei ferner darauf angewiesen, via Schweiz von Luxemburg, seinem Wohnort, nach Genua, wo er seine «europäische Residenz mit Bewilligung» habe, reisen zu können.</w:t>
      </w:r>
    </w:p>
    <w:p>
      <w:r>
        <w:rPr>
          <w:b/>
        </w:rPr>
        <w:t>E. 5.1</w:t>
      </w:r>
    </w:p>
    <w:p>
      <w:r>
        <w:t>Der Beschwerdeführer verfügt über eine italienische Aufenthaltsbewilligung, womit er grundsätzlich befugt war, in die Schweiz einzureisen. Der Vollständigkeit halber ist darauf hinzuweisen, dass die Einreise eines Drittstaatsangehörigen zum Zweck der Aufnahme einer Erwerbstätigkeit rechtswidrig ist, falls eine Bewilligung zur Ausübung der Erwerbstätigkeit nicht schon vorgängig eingeholt wurde. Das streitige Einreiseverbot gründet indessen nicht auf einer illegalen Einreise oder einem illegalen Aufenthalt, sondern auf der illegalen Erwerbstätigkeit in der Schweiz. Strittig und zu beurteilen ist demnach, ob der Beschwerdeführer eine Tätigkeit erbracht hat, die nach den Kriterien der ausländerrechtlichen Rechtsprechung als Erwerbstätigkeit zu qualifizieren ist, für die eine Bewilligungspflicht besteht.</w:t>
      </w:r>
    </w:p>
    <w:p>
      <w:r>
        <w:rPr>
          <w:b/>
        </w:rPr>
        <w:t>E. 5.2</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oder tageweise oder vorübergehend ausgeübt wird (vgl. Art. 1a und 2 VZAE).</w:t>
      </w:r>
    </w:p>
    <w:p>
      <w:r>
        <w:rPr>
          <w:b/>
        </w:rPr>
        <w:t>E. 6.1</w:t>
      </w:r>
    </w:p>
    <w:p>
      <w:r>
        <w:t>Vorliegend bestehen aufgrund der Akten keine Zweifel, dass sich der Sachverhalt wie von der Vorinstanz beschrieben zugetragen hat. Dies wird vom Beschwerdeführer denn auch nicht bestritten. In der Einvernahme gab er zu, Bilder bzw. Karikaturen verkauft zu haben, wobei er «nicht viel Geld dafür erhalten» (SEM-act. 2, pag. 83) habe. Er habe Bilder für «etwa Fr. 150.-» verkauft.</w:t>
      </w:r>
    </w:p>
    <w:p>
      <w:r>
        <w:rPr>
          <w:b/>
        </w:rPr>
        <w:t>E. 6.2</w:t>
      </w:r>
    </w:p>
    <w:p>
      <w:r>
        <w:t>Der Beschwerdeführer bestreitet hingegen, dass die von ihm ausgeübte künstlerische Tätigkeit als Erwerbstätigkeit i.S.v. Art. 11 Abs. 2 AIG zu qualifizieren sei. Das Anfertigen von Porträts und Karikaturen stellt zwar für sich genommen eine künstlerische und keine per se erwerbsorientierte Tätigkeit dar, jedoch wird sie an Jahrmärkten und frequentierten Strassen und Plätzen üblicherweise - wie im vorliegenden Fall auf dem (...)-Messegelände - gegen ein Entgelt angeboten. Für die Qualifikation als Erwerbstätigkeit im ausländerrechtlichen Verfahren ist somit nicht ausschlaggebend, ob es sich um künstlerische Arbeit handelte oder nicht.</w:t>
      </w:r>
    </w:p>
    <w:p>
      <w:r>
        <w:rPr>
          <w:b/>
        </w:rPr>
        <w:t>E. 6.3</w:t>
      </w:r>
    </w:p>
    <w:p>
      <w:r>
        <w:t>Zusammenfassend ist festzuhalten, dass der Beschwerdeführer im beschriebenen Umfang einer Erwerbstätigkeit im Sinne von Art. 11 Abs. 2 AIG nachgegangen ist. Indem er diese Tätigkeit ohne die erforderliche Bewilligung ausübte, hat er gegen die öffentliche Sicherheit und Ordnung verstossen oder diese zumindest gefährdet. Der Tatbestand von Art. 67 Abs. 2 Bst. a AIG (in der hier anwendbaren, bis am 21. November 2022 gültig gewesenen Fassung vom 18. Juni 2010 [AS 2010 5925]) ist erfüllt, weshalb die Voraussetzungen für den Erlass eines Einreiseverbots gegeben sind.</w:t>
      </w:r>
    </w:p>
    <w:p>
      <w:r>
        <w:rPr>
          <w:b/>
        </w:rPr>
        <w:t>E. 7</w:t>
      </w:r>
    </w:p>
    <w:p>
      <w:r>
        <w:t>Zu prüfen bleibt die Verhältnismässigkeit der Massnahme (vgl. E. 3.3).</w:t>
      </w:r>
    </w:p>
    <w:p>
      <w:r>
        <w:rPr>
          <w:b/>
        </w:rPr>
        <w:t>E. 7.1</w:t>
      </w:r>
    </w:p>
    <w:p>
      <w:r>
        <w:t>Entgegen seinen gegenteiligen Zusicherungen in der polizeilichen Einvernahme, er sei hier noch nie rechtskräftig verurteilt worden (SEM-act. 2, pag. 87), ist der Beschwerdeführer bereits mehrmals in der Schweiz ausländer- und strafrechtlich in Erscheinung getreten. Die Vorinstanz hatte u.a. aufgrund von unerlaubter Erwerbstätigkeit schon einmal ein zweijähriges Einreiseverbot (vom 17. Juli 2019 bis zum 16. Juli 2021) gegen ihn verhängt (SEM-act. 1, pag. 70).</w:t>
      </w:r>
    </w:p>
    <w:p>
      <w:r>
        <w:rPr>
          <w:b/>
        </w:rPr>
        <w:t>E. 7.2</w:t>
      </w:r>
    </w:p>
    <w:p>
      <w:r>
        <w:t>Der Beschwerdeführer hat wiederholt gegen zentrale ausländerrechtliche Bestimmungen verstossen. Das generalpräventiv motivierte Interesse daran, die ausländerrechtliche Ordnung durch eine konsequente Massnahmenpraxis zu schützen, ist demnach als gewichtig einzustufen. Andererseits ist eine spezialpräventive Zielsetzung der Massnahme darin zu sehen, dass sie die Betroffenen ermahnt, sich inskünftig an die geltenden Regeln zu halten (BVGE 2014/20 E. 8.2; Urteil des BVGer F-1641/2019 vom 14. September 2020 E 4.1.1). Es besteht somit ein nicht unerhebliches öffentliches Interesse an der befristeten Fernhaltung des Beschwerdeführers.</w:t>
      </w:r>
    </w:p>
    <w:p>
      <w:r>
        <w:rPr>
          <w:b/>
        </w:rPr>
        <w:t>E. 7.3</w:t>
      </w:r>
    </w:p>
    <w:p>
      <w:r>
        <w:t>Den öffentlichen Fernhalteinteressen sind die privaten Interessen des Beschwerdeführers entgegenzuhalten. Der Beschwerdeführer gibt an, er sei darauf angewiesen, via Schweiz von Luxemburg nach Italien reisen zu können. Es steht ihm jedoch frei, bei der Durchreise nach Italien auf benachbarte Länder wie Frankreich auszuweichen. Weitere privaten Interessen werden nicht geltend gemacht.</w:t>
      </w:r>
    </w:p>
    <w:p>
      <w:r>
        <w:rPr>
          <w:b/>
        </w:rPr>
        <w:t>E. 7.4</w:t>
      </w:r>
    </w:p>
    <w:p>
      <w:r>
        <w:t>Nach Abwägung der sich gegenüberstehenden Interessen und unter Berücksichtigung der Praxis in ähnlich gelagerten Fällen erweist sich das vorliegende einjährige Einreiseverbot sowohl im Grundsatz als auch hinsichtlich seiner Dauer als verhältnismässig (vgl. Urteile des BVGerF-1764/2021 vom 15. November 2021; F-3614/2019 vom 30. April 2020).</w:t>
      </w:r>
    </w:p>
    <w:p>
      <w:r>
        <w:rPr>
          <w:b/>
        </w:rPr>
        <w:t>E. 8</w:t>
      </w:r>
    </w:p>
    <w:p>
      <w:r>
        <w:t>Zusammenfassend ergibt sich, dass die angefochtene Verfügung im Lichte von Art. 49 VwVG nicht zu beanstanden ist. Die Beschwerde ist daher abzuweisen.</w:t>
      </w:r>
    </w:p>
    <w:p>
      <w:r>
        <w:rPr>
          <w:b/>
        </w:rPr>
        <w:t>E. 9</w:t>
      </w:r>
    </w:p>
    <w:p>
      <w:r>
        <w:t>Entsprechend dem Ausgang des Verfahrens sind die Kosten, welche sich vorliegend auf Fr. 1'000.- belaufen, dem Beschwerdeführer aufzuerlegen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