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F-5247/2016 vom 5. September 2017</w:t>
      </w:r>
    </w:p>
    <w:p>
      <w:r>
        <w:t>Bundesverwaltungsgericht, 2017-09-05, DE</w:t>
      </w:r>
    </w:p>
    <w:p>
      <w:r>
        <w:rPr>
          <w:b/>
        </w:rPr>
        <w:t xml:space="preserve">Quelle: </w:t>
      </w:r>
      <w:r>
        <w:t>https://mcp.opencaselaw.ch/entscheid/bvger_F-5247_2016</w:t>
      </w:r>
    </w:p>
    <w:p>
      <w:r>
        <w:t>FR: TAF F-5247/2016 du 5 septembre 2017</w:t>
      </w:r>
    </w:p>
    <w:p>
      <w:r>
        <w:t>IT: TAF F-5247/2016 del 5 settembre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hierbei um einen autonomen Entscheid (vgl. BGE 135 II 1 E. 1.1; BVGE 2009/27 E. 3 oder BVGE 2014/1 E. 4.1.1 [erster Teil] m.w.H.).</w:t>
      </w:r>
    </w:p>
    <w:p>
      <w:r>
        <w:rPr>
          <w:b/>
        </w:rPr>
        <w:t>E. 3.2</w:t>
      </w:r>
    </w:p>
    <w:p>
      <w:r>
        <w:t>Der angefochtenen Verfügung liegen Gesuche iranischer Staatsangehöriger um Erteilung eines Schengen-Visums bzw. eines humanitären Visums zugrunde. Das Ausländergesetz und seine Ausführungsbestimmungen gelangen nur soweit zur Anwendung, als die Schengen-Assoziierungsabkommen keine abweichenden Bestimmungen enthalten (Art. 2 Abs. 4 AuG [SR 142.20] und Art. 1 Abs. 2 der Verordnung vom 22. Oktober 2008 über die Einreise und die Visumerteilung [VEV; SR 142.204]).</w:t>
      </w:r>
    </w:p>
    <w:p>
      <w:r>
        <w:rPr>
          <w:b/>
        </w:rPr>
        <w:t>E. 3.3</w:t>
      </w:r>
    </w:p>
    <w:p>
      <w:r>
        <w:t>Drittstaatsangehörige dürfen über die Aussengrenze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81/1 vom 21. März 2001] zur Aufstellung der Liste der Drittländer, deren Staatsangehörige bei Überschreiten der Aussengrenzen im Besitz eines Visums sein müssen, sowie der Liste der Drittländer, deren Staatsangehörige von dieser Visumspflicht befreit sind; zum vollständigen Quellennachweis vgl. die Fussnote zu Art. 4 Abs. 1 VEV). Im Weiteren müssen Drittstaatsangehörige für den Erhalt eines Schengen-Visums den Zweck und die Umstände ihres beabsichtigten Aufenthalts belegen und hierfür über ausreichend finanzielle Mittel verfügen. Namentlich haben sie zu belegen, dass sie den Schengen-Raum vor Ablauf der Gültigkeitsdauer des beantragten Visums wieder verlassen bzw. Gewähr für eine fristgerechte Wiederausreise bieten. Ferner dürfen Drittstaatsangehörige nicht im Schengener Informationssystem (SIS II) zur Einreiseverweigerung ausgeschrieben sein und keine Gefahr für die öffentliche Ordnung, die innere Sicherheit, die öffentliche Gesundheit oder die internationalen Beziehungen eines Mitgliedstaates darstellen (vgl. zum Ganzen: Art. 5 Abs. 1 und Abs. 2 AuG; Art. 2 Abs. 1 VEV i.V.m. Art. 6 Abs. 1 der Verordnung [EG] Nr. 2016/399 des Europäischen Parlaments und des Rates vom 9. März 2016 [kodifizierter Text] über einen Gemeinschaftskodex für das Überschreiten der Grenzen durch Personen [nachfolgend: Schengener-Grenzkodex, SGK, Abl. L 77/1 vom 23. März 2016]; Art. 14 Abs. 1 und Art. 21 Abs. 1 Visakodex; Art. 4 VEV).</w:t>
      </w:r>
    </w:p>
    <w:p>
      <w:r>
        <w:rPr>
          <w:b/>
        </w:rPr>
        <w:t>E. 3.4</w:t>
      </w:r>
    </w:p>
    <w:p>
      <w:r>
        <w:t>Wie bereits die Vorinstanz in ihrer Verfügung vom 3. August 2016 festgestellt hat, sind die Voraussetzungen für die Erteilung von Schengen-Visa in casu nicht erfüllt, weshalb zu prüfen bleibt, ob den Gesuchstellern ein Visum mit räumlich beschränkter Gültigkeit (sog. Visum aus humanitären Gründen) hätte erteilt werden können.</w:t>
      </w:r>
    </w:p>
    <w:p>
      <w:r>
        <w:rPr>
          <w:b/>
        </w:rPr>
        <w:t>E. 4.1</w:t>
      </w:r>
    </w:p>
    <w:p>
      <w:r>
        <w:t>Sind die vorerwähnten Einreisevoraussetzungen zur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räumlich beschränkter Gültigkeit gemäss Art. 25 Abs. 1 Bst. a Visakodex ausgestellt (vgl. dazu BVGE 2015/5 E. 4 m.w.H.).</w:t>
      </w:r>
    </w:p>
    <w:p>
      <w:r>
        <w:rPr>
          <w:b/>
        </w:rPr>
        <w:t>E. 4.2</w:t>
      </w:r>
    </w:p>
    <w:p>
      <w:r>
        <w:t>In einem Urteil vom 7. März 2017 (vgl. Urteil des Europäischen Gerichtshofs [EuGH] vom 07.03.2017, X und X gegen Belgien, C-638/16 PPU, EU:C:2017:13) erklärte der EuGH, "dass für einen Antrag auf ein Visum mit räumlich beschränkter Gültigkeit, der von einem Drittstaatsangehörigen aus humanitären Gründen auf der Grundlage von Art. 25 [Visakodex] bei der Vertretung des Zielmitgliedstaates im Hoheitsgebiet eines Drittstaates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die der Rechtsprechung der Europäischen Union grundsätzlich Folge trägt - dass die Voraussetzungen für die Erteilung eines Visums aus humanitären Gründen zwecks Einreichung eines Asylgesuchs ausschliesslich vom Landesrecht geregelt werden. Damit kann sich die Praxis hinsichtlich der Erteilung von Visa aus humanitären Gründen nicht länger auf die bisherige Regelung (Art. 2 Abs. 4 VEV) stützen, soweit diese auf den Begriff des Visums mit räumlich beschränkter Gültigkeit im Sinne von Art. 25 Visakodex Bezug nimmt. Tatsächlich erliess der Gesetzgeber der EU bisher keinen Rechtsakt, der die Voraussetzungen für die Erteilung von Visa aus humanitären Gründen für einen längerfristigen Aufenthalt regeln würde (vgl. zitiertes Urteil des EuGH vom 7. März 2017 Rz. 44).</w:t>
      </w:r>
    </w:p>
    <w:p>
      <w:r>
        <w:rPr>
          <w:b/>
        </w:rPr>
        <w:t>E. 4.4</w:t>
      </w:r>
    </w:p>
    <w:p>
      <w:r>
        <w:t>Die sich daraus ergebende Lücke füllte das Bundesverwaltungsgericht in einem neusten Grundsatzurteil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E. 4 m.H.).</w:t>
      </w:r>
    </w:p>
    <w:p>
      <w:r>
        <w:rPr>
          <w:b/>
        </w:rPr>
        <w:t>E. 5</w:t>
      </w:r>
    </w:p>
    <w:p>
      <w:r>
        <w:t>Gemäss weiterhin geltender Praxis kann ein Visum aus humanitären Gründen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Herkunftsstaat sorgfältig zu prüfen. Befindet sich die Person bereits in einem Drittstaat, ist in der Regel davon auszugehen, dass keine Gefährdung mehr besteht (vgl. zum Ganzen BVGE 2015/5 E. 4.1.3 [erster Abschnitt] und Weisungen Nr. 322.126 des SEM vom 25. Februar 2014 [Stand 30. August 2016]). Die Einreisevoraussetzungen sind somit beim Visumverfahren noch restriktiver gefasst als bei den altrechtlichen Asylgesuchen aus dem Ausland, auch wenn bereits im Falle von Asylgesuchen aus dem Ausland Einreisebewilligungen nur sehr zurückhaltend erteilt wurden (siehe BVGE 2015/5 E. 4.1.3 [zweiter Abschnitt]).</w:t>
      </w:r>
    </w:p>
    <w:p>
      <w:r>
        <w:rPr>
          <w:b/>
        </w:rPr>
        <w:t>E. 6.1</w:t>
      </w:r>
    </w:p>
    <w:p>
      <w:r>
        <w:t>Die Beschwerdeführerin ersucht denn auch primär um Ausstellung von Visa aus humanitären Gründen für ihre Familienangehörigen und knüpft mit ihren Vorbringen unmittelbar an ihre eigenen Verfolgungsgründe an. Ob daraus eine Reflexverfolgung für die Gesuchsteller abgeleitet werden kann ist nachfolgend zu prüfen.</w:t>
      </w:r>
    </w:p>
    <w:p>
      <w:r>
        <w:rPr>
          <w:b/>
        </w:rPr>
        <w:t>E. 6.2</w:t>
      </w:r>
    </w:p>
    <w:p>
      <w:r>
        <w:t>Die Beschwerdeführerin behauptet in ihrer Rechtsmitteleingabe vom 30. August 2016, dass wegen ihres regimekritischen Blogs und der späteren Gewährung von Asyl die iranische Regierung bzw. der Geheimdienst ihre Mutter und ihren Bruder unter Beobachtung genommen, regelmässig aufgesucht und bedroht hätten. Erstmals sei im Juni 2013 (unmittelbar nach ihrer Flucht) das Haus ihrer Mutter durchsucht worden. Zudem seien ihre Mutter wie auch ihr Bruder in Untersuchungshaft genommen worden. Während der Bruder körperliche Gewalt habe ertragen müssen, sei die Mutter stundenlang massiv beleidigt und bedroht worden. Jedoch hätten sie den Behörden keine Antworten geben können. Als weiteres Druckmittel sei ihrem Bruder im Winter 2014 - nach ihrem positiven Asylentscheid - der Reisepass entzogen worden. Am 25. Juli 2015 sei der Bruder ein weiteres Mal in Untersuchungshaft gekommen, wobei er wiederum massiv schikaniert worden sei und erneut körperliche Gewalt habe ertragen müssen. Er hätte den Behörden Informationen über andere Aktivisten zuspielen und sodann auch für das Regime als Spion arbeiten sollen, dies unter Androhung, dass sie bei Weigerung eine fiktive Akte, gefüllt mit illegalen regimekritischen Aktivitäten, anlegen und ihn hierfür verhaften lassen und eine lange Haftstrafe anordnen würden. Aufgrund dieser Geschehnisse und weiterer telefonischer Drohungen sei ihr Bruder schliesslich am 30. August 2015 untergetaucht. Seither hätten die Familienangehörigen nur noch via E-Mail Kontakt, da die Telefone gemäss Aussagen der Beschwerdeführerin vom Geheimdienst abgehört würden. Am 21. April 2016 seien drei Securityservicepersonen im Haus der Mutter vorbeigekommen und hätten sich mit Gewalt Zugang zur Wohnung verschafft. Dabei sei die Mutter derart umgestossen worden, dass sie sich das Handgelenk gebrochen habe. Bei einer Vorladung sei auch ihrer Schwägerin der Reisepass entzogen worden. Entgegen der Behauptung der Vorinstanz bedeute die kürzlich erfolgte Ausstellung eines Reisepasses für ihre Nichte nicht, dass keine staatliche Gefahr drohe. Bei einem Kleinkind bestehe einerseits keine Fluchtgefahr und zum anderen seien die Reisepässe der Eltern eingezogen worden.</w:t>
      </w:r>
    </w:p>
    <w:p>
      <w:r>
        <w:rPr>
          <w:b/>
        </w:rPr>
        <w:t>E. 6.3</w:t>
      </w:r>
    </w:p>
    <w:p>
      <w:r>
        <w:t>Gestützt auf den Bericht des Direktionsbereichs Asyl des SEM vom 18. April 2016 bestehen in Bezug auf die geltend gemachte Reflexverfolgung der Gesuchsteller durch die iranische Behörde erhebliche Zweifel. Zum einen fällt auf, dass die Aussagen der Beschwerdeführerin aus dem Asylverfahren mit denjenigen in der Einsprache bzw. Rechtsmitteleingabe zwar teilweise übereinstimmen, was gemäss Einschätzung der vorinstanzlichen Amtsstelle jedoch damit zusammenhänge, dass der Beschwerdeführerin vor Einreichung der Visagesuche (am 10. September 2015) Akteneinsicht ins Asyldossier gewährt worden sei (vgl. SEM Akt. 3/53). In den Eingaben vom 28. Juni 2016 (Einsprache SEM) sowie vom 30. August 2016 (Rechtsmitteleingabe vor dem BVGer) kommen jedoch neue Elemente dazu, deren Glaubhaftigkeit von der Vorinstanz zu Recht angezweifelt wird. So erscheint es wenig glaubhaft, dass der Geheimdienst über zwei Jahre hinweg den Bruder der Beschwerdeführerin regelmässig "bearbeitet" haben soll, zumal er sich gemäss Akten selber nicht politisch engagiere (er sei [...] von Beruf). Auch die Darstellung der Beschaffung des Reisedokuments für die Tochter des Gesuchstellers erscheint unglaubhaft, da - gemäss Angaben der Botschaft - der Vater für die Kinder einen Pass beantragen und vor allem die Ausstellung desselben billigen müsse. Daraus sei zu schliessen, dass der Gesuchsteller in direktem Kontakt mit den Behörden gestanden habe und dies zu einem Zeitpunkt als er sich angeblich versteckt gehalten habe (vgl. Übermittlungsschreiben vom 15. März 2016; SEM Akt. 1/50). Zudem erstaune, dass der Tochter ein Reisedokument ausgestellt worden sei, wogegen dem Gesuchsteller sein eigener Pass zur Minderung der Fluchtgefahr entzogen wurde. Die Behauptung, dass der Schwägerin der Reisepass entzogen worden sei, wird mit einer Kopie desselben im Rahmen der Visaanträge widerlegt (SEM Akt. 1/17). Auch die Angaben zur Situation der Mutter wirkten stereotyp und übertrieben, vor allem mit Blick auf die Aussagen der Beschwerdeführerin während der Anhörung zu den Asylgründen. Beispielsweise sind in Abweichung von den Angaben beim Visumsgesuch keine Festnahme der Mutter am Tag der Hausdurchsuchung oder wöchentliche Telefondrohungen gegen sie aktenkundig.</w:t>
      </w:r>
    </w:p>
    <w:p>
      <w:r>
        <w:rPr>
          <w:b/>
        </w:rPr>
        <w:t>E. 6.4</w:t>
      </w:r>
    </w:p>
    <w:p>
      <w:r>
        <w:t>Eine Reflexverfolgung im Sinne des Asylgesetzes liegt dann vor, wenn Dritte - etwa Angehörige von verfolgten, aber für den Verfolger nicht greifbaren Personen - Repressalien ausgesetzt sind, um Druck auf diese oder die Familie auszuüben. Insgesamt steht fest, dass die Gesuchsteller nach der Flucht der Beschwerdeführerin vermutlich verhört worden sind. Indessen ist nicht nachvollziehbar, weshalb der Geheimdienst die Gesuchsteller auch zwei Jahre nach der Flucht der Beschwerdeführerin und gemäss ihren Angaben nach Einstellung des Blogs weiter befragt und bedroht haben soll. In den Akten finden sich keine Hinweise darauf, dass die Beschwerdeführerin ihre Blogger-Aktivitäten in der Schweiz wieder aufgenommen hätte, womit nicht ersichtlich ist, was für ein weiteres Verfolgungsinteresse der Geheimdienst an den Familienangehörigen in Iran haben sollte.</w:t>
      </w:r>
    </w:p>
    <w:p>
      <w:r>
        <w:rPr>
          <w:b/>
        </w:rPr>
        <w:t>E. 6.5</w:t>
      </w:r>
    </w:p>
    <w:p>
      <w:r>
        <w:t>Zusammenfassend hält das Bundesverwaltungsgericht fest, dass die Vorinstanz den Gesuchstellern die Einreise in die Schweiz zu Recht verweigert und die Erteilung humanitärer Visa abgelehnt hat, da sie in ihrem Heimatstaat keiner unmittelbaren, ernsthaften und konkreten Gefährdung von Leib und Leben ausgesetzt sind.</w:t>
      </w:r>
    </w:p>
    <w:p>
      <w:r>
        <w:rPr>
          <w:b/>
        </w:rPr>
        <w:t>E. 7</w:t>
      </w:r>
    </w:p>
    <w:p>
      <w:r>
        <w:t>Aus den vorstehenden Erwägungen folgt, dass sich die angefochtene Verfügung im Lichte von Art. 49 VwVG als rechtmässig erweist. Die Beschwerde ist daher abzuweisen.</w:t>
      </w:r>
    </w:p>
    <w:p>
      <w:r>
        <w:rPr>
          <w:b/>
        </w:rPr>
        <w:t>E. 8</w:t>
      </w:r>
    </w:p>
    <w:p>
      <w:r>
        <w:t>Bei diesem Ausgang des Verfahrens sind die Kosten in der Höhe von Fr. 600.- der Beschwerdeführerin aufzuerlegen (Art. 63 Abs. 1 und 5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