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F-5241/2022 vom 13. Juli 2023</w:t>
      </w:r>
    </w:p>
    <w:p>
      <w:r>
        <w:t>Bundesverwaltungsgericht, 2023-07-13, FR</w:t>
      </w:r>
    </w:p>
    <w:p>
      <w:r>
        <w:rPr>
          <w:b/>
        </w:rPr>
        <w:t xml:space="preserve">Quelle: </w:t>
      </w:r>
      <w:r>
        <w:t>https://mcp.opencaselaw.ch/entscheid/bvger_F-5241_2022</w:t>
      </w:r>
    </w:p>
    <w:p>
      <w:r>
        <w:t>FR: TAF F-5241/2022 du 13 juillet 2023</w:t>
      </w:r>
    </w:p>
    <w:p>
      <w:r>
        <w:t>IT: TAF F-5241/2022 del 13 luglio 2023</w:t>
      </w:r>
    </w:p>
    <w:p>
      <w:pPr>
        <w:pStyle w:val="Heading2"/>
      </w:pPr>
      <w:r>
        <w:t>Regeste</w:t>
      </w:r>
    </w:p>
    <w:p>
      <w:r>
        <w:t>Interdiction d'entrée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en l'espèce (art. 1 al. 2 LTAF en relation avec l'art. 83 let. c ch. 1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3.1</w:t>
      </w:r>
    </w:p>
    <w:p>
      <w:r>
        <w:t>A titre liminaire, il convient d'examiner les griefs formels soulevés par le recourant. En effet, celui-ci reproche au SEM une constatation incomplète des faits et expose que l'autorité inférieure n'a procédé à aucune instruction de sa cause, se contentant de reprendre les faits retenus dans les différentes décisions, administratives et pénales, rendues à son encontre.</w:t>
      </w:r>
    </w:p>
    <w:p>
      <w:r>
        <w:rPr>
          <w:b/>
        </w:rPr>
        <w:t>E. 3.2</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rPr>
          <w:b/>
        </w:rPr>
        <w:t>E. 3.3</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3.4</w:t>
      </w:r>
    </w:p>
    <w:p>
      <w:r>
        <w:t>En l'espèce, force est de constater que le recourant n'a avancé, que ce soit au stade de la procédure devant le SEM ou à celui du recours, aucun argument ou preuve nouveaux permettant de remettre en cause l'état de fait retenu dans les jugements pénaux rendus à son encontre. Dans ces circonstances, force est de constater que rien n'obligeait le SEM à procéder à une nouvelle instruction de l'état de fait et que l'autorité pouvait valablement se fonder sur les jugements pénaux rendus. Partant, sur ce point, le grief de l'intéressé est mal fondé.</w:t>
      </w:r>
    </w:p>
    <w:p>
      <w:r>
        <w:rPr>
          <w:b/>
        </w:rPr>
        <w:t>E. 3.5</w:t>
      </w:r>
    </w:p>
    <w:p>
      <w:r>
        <w:t>De même, le Tribunal relève, que contrairement aux allégations de l'intéressé, le SEM a correctement analysé - notamment sous l'angle de l'art. 8 CEDH - l'impact qu'une interdiction d'entrée risquait d'avoir sur sa vie familiale. En particulier, il a pris en compte dans son analyse la présence en Suisse de sa femme et de ses enfants. Dans ces circonstances, aucune mesure d'instruction complémentaire ne s'avérait nécessaire.</w:t>
      </w:r>
    </w:p>
    <w:p>
      <w:r>
        <w:rPr>
          <w:b/>
        </w:rPr>
        <w:t>E. 3.6</w:t>
      </w:r>
    </w:p>
    <w:p>
      <w:r>
        <w:t>Compte tenu de ce qui précède, le Tribunal constate que la décision attaquée n'est entachée d'aucun vice formel.</w:t>
      </w:r>
    </w:p>
    <w:p>
      <w:r>
        <w:rPr>
          <w:b/>
        </w:rPr>
        <w:t>E. 4</w:t>
      </w:r>
    </w:p>
    <w:p>
      <w:r>
        <w:t>L'interdiction d'entrée est réglée par l'art. 67 LEI (RS 142.20). Le 22 novembre 2022, est entrée en vigueur une modification de cette disposition. Ce changement législatif n'a été accompagné d'aucune disposition transitoire (RO 2021 365). En l'espèce, le Tribunal ne discerne aucun intérêt public prépondérant à appliquer immédiatement l'art. 67 LEI dans sa nouvelle version. Ainsi, en conformité avec les principes généraux de droit intertemporel, il appliquera le droit en vigueur au jour où l'autorité de première instance a statué (cf. ATF 141 II 393 consid. 2.4, 139 II 470 consid. 4.2, et la jurisprudence citée). Compte tenu de ce qui précède, le présent arrêt se réfère à la version de la LEI en vigueur au jour du prononcé de la décision attaquée, à savoir le 13 octobre 2022.</w:t>
      </w:r>
    </w:p>
    <w:p>
      <w:r>
        <w:rPr>
          <w:b/>
        </w:rPr>
        <w:t>E. 5.1</w:t>
      </w:r>
    </w:p>
    <w:p>
      <w:r>
        <w:t>Selon l'art. 67 al. 2 let. a LEI, le SEM peut interdire l'entrée en Suisse à un étranger s'il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5.3</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6.1</w:t>
      </w:r>
    </w:p>
    <w:p>
      <w:r>
        <w:t>En premier lieu, il convient d'examiner si, par son comportement, le recourant a attenté à la sécurité et à l'ordre publics ou les a mis en danger au sens de l'art. 67 al. 2 let. a LEI et si la décision attaquée est dès lors justifiée dans son principe.</w:t>
      </w:r>
    </w:p>
    <w:p>
      <w:r>
        <w:rPr>
          <w:b/>
        </w:rPr>
        <w:t>E. 6.2</w:t>
      </w:r>
    </w:p>
    <w:p>
      <w:r>
        <w:t>Dans la mesure où l'intéressé est ressortissant kosovar, soit originaire d'un Etat tiers, le prononcé querellé doit s'examiner à l'aune de la LEI, les dispositions de l'Accord du 21 juin 1999 entre la Confédération suisse, d'une part, et la Communauté européenne et ses Etats membres, d'autre part, sur la libre circulation des personnes (ALCP, RS 0.142.112.681) n'étant pas applicables. Selon le Tribunal fédéral, un étranger ressortissant d'un pays tiers n'a pas besoin d'avoir attenté de manière grave à l'ordre et la sécurité publics pour se voir interdire l'entrée en Suisse sur la base du seul art. 67 LEI (cf. ATF 139 II 121 consid. 5.4). La commission d'infractions suffit, en principe, pour admettre l'existence d'un risque actuel pour la sécurité et l'ordre publics (cf. ATAF 2017 VII/2 consid. 4.4).</w:t>
      </w:r>
    </w:p>
    <w:p>
      <w:r>
        <w:rPr>
          <w:b/>
        </w:rPr>
        <w:t>E. 6.3</w:t>
      </w:r>
    </w:p>
    <w:p>
      <w:r>
        <w:t>En l'espèce, les infractions pénales commises par le recourant en Suisse (cf. consid. D) imposent de retenir que celui-ci a manifestement attenté à la sécurité et l'ordre publics au sens de l'art. 77a al. 1 OASA. Par ailleurs, vu que le recourant est ressortissant d'un Etat tiers et que la commission d'infractions suffit donc en principe pour admettre l'existence d'un risque actuel pour la sécurité et l'ordre publics, il y a lieu en l'espèce de retenir que l'intéressé remplit les conditions d'application de l'art. 67 al. 2 let. a LEI (cf. ATAF 2017 VII/2 consid. 4.4). Partant, l'interdiction d'entrée prononcée est justifiée dans son principe.</w:t>
      </w:r>
    </w:p>
    <w:p>
      <w:r>
        <w:rPr>
          <w:b/>
        </w:rPr>
        <w:t>E. 7</w:t>
      </w:r>
    </w:p>
    <w:p>
      <w:r>
        <w:t>Il convient ensuite d'examiner si le prononcé d'une interdiction d'entrée d'une durée supérieure à cinq ans est justifié à la lumière de l'art. 67 al. 3 2ème phrase LEI et des principes dégagés par la jurisprudence.</w:t>
      </w:r>
    </w:p>
    <w:p>
      <w:r>
        <w:rPr>
          <w:b/>
        </w:rPr>
        <w:t>E. 7.1</w:t>
      </w:r>
    </w:p>
    <w:p>
      <w:r>
        <w:t>Ainsi que le Tribunal fédéral l'a retenu dans son arrêt précité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LEI (palier I) ou à la "menace d'une certaine gravité", telle que définie par la jurisprudence relative à l'art. 5 annexe I ALCP (palier I bis), constituant ainsi un palier supplémentaire dans la gradation (palier II). Etant donné que l'art. 67 al. 3 2ème phrase LEI ne fait pas de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LEI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7.2</w:t>
      </w:r>
    </w:p>
    <w:p>
      <w:r>
        <w:t>En l'espèce, le SEM a fondé sa décision du 13 octobre 2022 sur trois condamnations pénales dont le recourant avait fait l'objet. Il a notamment souligné que la culpabilité de ce dernier était lourde dans la mesure où, par son comportement, il n'avait pas hésité à menacer un bien juridique important, à savoir « l'intégrité corporelle ».</w:t>
      </w:r>
    </w:p>
    <w:p>
      <w:r>
        <w:rPr>
          <w:b/>
        </w:rPr>
        <w:t>E. 7.3</w:t>
      </w:r>
    </w:p>
    <w:p>
      <w:r>
        <w:t>Dans son recours, l'intéressé conteste cette appréciation et relève n'avoir jamais été reconnu coupable d'une atteinte à l'intégrité corporelle. Il déclare en outre que, sur ses trois condamnations, deux concernent des faits de peu de gravité et que la troisième, à elle seule, ne saurait justifier l'application de l'art. 67 al. 3 LEI, dans la mesure où elle ne concernerait qu'un fait isolé et exclurait ainsi un risque de récidive. Rien ne permettrait dès lors de retenir qu'il constituerait une « menace grave » pour la sécurité et l'ordre publics. Partant, la durée de l'interdiction d'entrée prononcée ne devrait pas, selon le recourant, dépasser cinq ans.</w:t>
      </w:r>
    </w:p>
    <w:p>
      <w:r>
        <w:rPr>
          <w:b/>
        </w:rPr>
        <w:t>E. 7.4</w:t>
      </w:r>
    </w:p>
    <w:p>
      <w:r>
        <w:t>Le Tribunal ne saurait suivre cette argumentation. Il n'existe en l'espèce aucun motif permettant de s'écarter de l'appréciation du SEM. Certes, le recourant n'a jamais été formellement condamné pour une atteinte à l'intégrité corporelle et ici l'argumentation du SEM manque effectivement de précision. Il n'en demeure pas moins que la dernière infraction commise par le recourant est particulièrement grave et sérieuse. En effet, comme cela ressort des jugements pénaux rendus, le recourant, de concours avec d'autres membres de sa famille, a enlevé et séquestré sa nièce pour la forcer à rompre sa relation avec un homme d'origine culturelle différente, en l'occurrence, italienne. Il a administré à sa nièce un sédatif et, en utilisant la ruse, l'a convaincue de le suivre au Kosovo, où, enfermée, elle a été constamment surveillée et privée de la possibilité de communiquer librement avec l'extérieur. Ses documents d'identité lui ont également été enlevés. Ainsi, comme retenu dans le jugement pénal du 19 novembre 2019, durant 16 jours (soit entre le 29 mars et le 14 avril 2014, date de l'intervention de la police du Kosovo), la nièce de l'intéressé a été totalement privée de liberté ou, à tout le moins, de la possibilité de rentrer chez elle en Suisse, lieu qu'elle n'avait jamais voulu quitter. Les juges pénaux ont en outre retenu, d'une façon à lier le Tribunal, que la culpabilité de l'intéressé était lourde et que son implication dans l'enlèvement avait été centrale.</w:t>
      </w:r>
    </w:p>
    <w:p>
      <w:r>
        <w:rPr>
          <w:b/>
        </w:rPr>
        <w:t>E. 7.5</w:t>
      </w:r>
    </w:p>
    <w:p>
      <w:r>
        <w:t>A En conséquence, au vu de l'activité délictuelle de l'intéressé en Suisse et, en particulier, de la gravité des faits ci-avant relatés, le Tribunal conclut que les conditions de l'art. 67 al. 3 phr. 2 LEI sont réunies. L'éloignement de l'intéressé pour une durée supérieure à cinq ans est dès lors justifié.</w:t>
      </w:r>
    </w:p>
    <w:p>
      <w:r>
        <w:rPr>
          <w:b/>
        </w:rPr>
        <w:t>E. 8.1</w:t>
      </w:r>
    </w:p>
    <w:p>
      <w:r>
        <w:t>Il y a lieu d'examiner encore si la mesure d'éloignement prononcée satisfait aux principes de proportionnalité et d'égalité de traitement.</w:t>
      </w:r>
    </w:p>
    <w:p>
      <w:r>
        <w:rPr>
          <w:b/>
        </w:rPr>
        <w:t>E. 8.2</w:t>
      </w:r>
    </w:p>
    <w:p>
      <w:r>
        <w:t>Toute mesure d'éloignement doit respecter le principe de proportionnalité qui s'impose tant en droit interne (art. 5 al. 2 et 36 al. 3 Cst. et art. 96 LEI) qu'au regard de la CEDH (notamment, en ce qui concerne la protection de la vie privée et familiale, art. 8 par. 2 CEDH [RS 0.101]).</w:t>
      </w:r>
    </w:p>
    <w:p>
      <w:r>
        <w:rPr>
          <w:b/>
        </w:rPr>
        <w:t>E. 8.2.1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8.2.2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8.3</w:t>
      </w:r>
    </w:p>
    <w:p>
      <w:r>
        <w:t>En l'occurrence, concernant les règles de l'aptitude et de la nécessité, il est indéniable que l'éloignement du recourant du territoire suisse pendant un certain temps est apte et nécessaire à atteindre le but visé, à savoir la protection de l'ordre et de la sécurité publics. A cet égard et compte tenu de la gravité de l'infraction commise par le recourant et des biens juridiques menacés - notamment la liberté individuelle - les autorités sont contraintes d'intervenir avec sévérité afin d'assurer le respect de l'ordre juridique suisse.</w:t>
      </w:r>
    </w:p>
    <w:p>
      <w:r>
        <w:rPr>
          <w:b/>
        </w:rPr>
        <w:t>E. 8.4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8.5</w:t>
      </w:r>
    </w:p>
    <w:p>
      <w:r>
        <w:t>En relation avec son intérêt privé, le recourant fait valoir que la décision du SEM contrevient au respect de sa vie privée et familiale, garanti par l'art. 8 CEDH, compte tenu de la présence en Suisse de son épouse et de ses deux enfants mineurs. Dans ce contexte, il cite en particulier la jurisprudence du Tribunal fédéral relative à l'exercice du droit de visite par le parent habitant à l'étranger, selon laquelle la distance séparant les proches doit être prise en compte.</w:t>
      </w:r>
    </w:p>
    <w:p>
      <w:r>
        <w:rPr>
          <w:b/>
        </w:rPr>
        <w:t>E. 8.6</w:t>
      </w:r>
    </w:p>
    <w:p>
      <w:r>
        <w:t>Il convient d'abord de relever que l'impossibilité pour le recourant de résider durablement sur le territoire helvétique ne résulte pas de la mesure d'éloignement litigieuse, mais du fait que son autorisation d'établissement lui a été retirée le 25 mars 2021 et que son renvoi de Suisse a été prononcé. Ainsi, l'examen de la présente cause à l'aune de l'art. 8 CEDH vise avant tout à déterminer si l'interdiction d'entrée querellée complique de manière disproportionnée le maintien des relations avec ses proches.</w:t>
      </w:r>
    </w:p>
    <w:p>
      <w:r>
        <w:rPr>
          <w:b/>
        </w:rPr>
        <w:t>E. 8.7</w:t>
      </w:r>
    </w:p>
    <w:p>
      <w:r>
        <w:t>Le Tribunal constate que tel n'est pas le cas. En effet, rien ne s'oppose à ce que les enfants de l'intéressé, accompagnés de son épouse, elle-même originaire du Kosovo, le rejoignent durant de courtes périodes dans son pays. La distance entre la Suisse et le Kosovo n'est en effet pas de nature à rendre ce type de contacts impossibles. Quant à l'argument selon lequel l'épouse de l'intéressé dispose de moyens financiers modestes, celui-ci n'est pas de nature à contrebalancer l'intérêt public à éloigner le recourant du territoire suisse (cf. ci-après). Les moyens de communication modernes, largement accessibles, permettent en tout état au recourant entretenir des contacts réguliers avec sa famille. L'intérêt public à l'éloignement du recourant de Suisse demeure quant à lui entier. Il convient de rappeler sur ce point que les actes pour lesquels le recourant a été condamné, en particulier la séquestration et l'enlèvement, doivent être tenus pour graves et justifient dès lors une intervention des autorités. Par ailleurs, le fait que le recourant tente de relativiser sa culpabilité, notamment en contestant les faits retenus par les juges pénaux, témoigne d'une absence totale de prise de conscience de la gravité de ses actes. Dans ces conditions, un risque de récidive ne saurait être exclu. Ainsi, au vu de l'activité délictuelle déployée en Suisse et du risque de récidive non négligeable, il existe un intérêt public indéniable à tenir le recourant éloigné de la Suisse pendant une période relativement longue. Cet intérêt prime par ailleurs l'intérêt privé de l'intéressé à pouvoir revenir en Suisse sans restriction. Compte tenu de ce qui précède, après une pondération des intérêts publics et privés en présence et au regard de l'ensemble des circonstances du cas d'espèce, le Tribunal considère que la durée de l'interdiction d'entrée prononcée le 14 octobre 2022 pour une durée de sept ans est conforme au principe de la proportionnalité.</w:t>
      </w:r>
    </w:p>
    <w:p>
      <w:r>
        <w:rPr>
          <w:b/>
        </w:rPr>
        <w:t>E. 9</w:t>
      </w:r>
    </w:p>
    <w:p>
      <w:r>
        <w:t>Le SEM a également ordonné l'inscription de l'interdiction d'entrée dans le SIS II. En raison de ce signalement, il est interdit au recourant de pénétrer dans l'espace Schengen.</w:t>
      </w:r>
    </w:p>
    <w:p>
      <w:r>
        <w:rPr>
          <w:b/>
        </w:rPr>
        <w:t>E. 9.1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9.2</w:t>
      </w:r>
    </w:p>
    <w:p>
      <w:r>
        <w:t>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9.3</w:t>
      </w:r>
    </w:p>
    <w:p>
      <w:r>
        <w:t>En l'occurrence, le Tribunal conclut que le signalement au SIS est justifié par les faits retenus (cf. consid. 7.4 en particulier ainsi que l'art. 21 en relation avec l'art. 24 al. 2 lettre a du règlement SIS II).</w:t>
      </w:r>
    </w:p>
    <w:p>
      <w:r>
        <w:rPr>
          <w:b/>
        </w:rPr>
        <w:t>E. 10</w:t>
      </w:r>
    </w:p>
    <w:p>
      <w:r>
        <w:t>Le Tribunal constate enfin que c'est à bon droit que le SEM n'a pas fait application de l'art. 67 al. 5 LEI au motif qu'il n'existait pas de raisons humanitaires ou d'autres motifs importants justifiant l'abstention ou la suspension de la mesure d'éloignement au sens de cette disposition. En effet, les arguments de l'intéressé en rapport avec l'application de l'art. 67 al. 5 LEI, articulés au stade du recours, se rapportent exclusivement au respect de sa vie privée et familiale au sens de l'art. 8 CEDH, argument qui a déjà été écarté ci-dessus.</w:t>
      </w:r>
    </w:p>
    <w:p>
      <w:r>
        <w:rPr>
          <w:b/>
        </w:rPr>
        <w:t>E. 11.1</w:t>
      </w:r>
    </w:p>
    <w:p>
      <w:r>
        <w:t>Il ressort de ce qui précède que, par sa décision du 13 octobre 2022, l'autorité inférieure n'a ni violé le droit fédéral ni constaté les faits pertinents de manière inexacte ou incomplète ; en outre, cette décision n'est pas inopportune (art. 49 PA). En conséquence, le recours est rejeté.</w:t>
      </w:r>
    </w:p>
    <w:p>
      <w:r>
        <w:rPr>
          <w:b/>
        </w:rPr>
        <w:t>E. 11.2</w:t>
      </w:r>
    </w:p>
    <w:p>
      <w:r>
        <w:t>Vu l'issue de la cause, il y aurait lieu de mettre les frais de procédure à la charge du recourant (art. 63 al. 1 PA et art. 1 à 3 FITAF [RS 173.320.2]). Toutefois, l'assistance judiciaire totale (art. 65 al. 1 et 2 PA) lui ayant été octroyée par décision incidente du 30 janvier 2023, il n'est pas perçu de frais de procédure.</w:t>
      </w:r>
    </w:p>
    <w:p>
      <w:r>
        <w:rPr>
          <w:b/>
        </w:rPr>
        <w:t>E. 11.3</w:t>
      </w:r>
    </w:p>
    <w:p>
      <w:r>
        <w:t>Par ailleurs, Me Benjamin Schwab, nommé comme mandataire d'office par décision incidente du 30 janvier 2023, a droit à l'octroi d'une indemnité à titre d'honoraires et de débours.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ladite indemnité, mise à la charge du Tribunal, est arrêtée à 1'800 francs (y compris supplément TVA selon l'art. 9 al. 1 let. c FITAF), au tarif horaire de 200 francs appliqué dans le cas particulier à l'avocat du recourant, pour l'activité indispensable déployée dans la présente procédure (art. 8 à 11, applicables par analogie conformément à l'art. 12 FITAF). Cela étant, le recourant est rendu attentif à l'obligation de rembourser ce montant s'il revient à meilleure fortune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