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F-5236/2021 vom 7. Dezember 2021</w:t>
      </w:r>
    </w:p>
    <w:p>
      <w:r>
        <w:t>Bundesverwaltungsgericht, 2021-12-07, DE</w:t>
      </w:r>
    </w:p>
    <w:p>
      <w:r>
        <w:rPr>
          <w:b/>
        </w:rPr>
        <w:t xml:space="preserve">Quelle: </w:t>
      </w:r>
      <w:r>
        <w:t>https://mcp.opencaselaw.ch/entscheid/bvger_F-5236_2021</w:t>
      </w:r>
    </w:p>
    <w:p>
      <w:r>
        <w:t>FR: TAF F-5236/2021 du 7 décembre 2021</w:t>
      </w:r>
    </w:p>
    <w:p>
      <w:r>
        <w:t>IT: TAF F-5236/2021 del 7 dicembre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Gemäss Art. 12 Abs. 2 Dublin-III-VO ist im Normalfall derjenige Mitgliedstaat für die Prüfung des Antrags auf internationalen Schutz zuständig, welcher der antragstellenden Person ein Visum erteilt hat, das seit weniger als sechs Monaten abgelaufen ist, wobei im betreffenden Staat nicht zusätzlich ein Asylgesuch gestellt worden zu sein braucht. Der nach der Dublin-III-VO zuständige Mitgliedstaat ist verpflichtet, eine asylsuchende Person, die in einem anderen Mitgliedstaat einen Antrag gestellt hat, nach Massgabe der Artikel 21, 22 und 29 aufzunehmen (Art. 18 Abs. 1 Bst. a Dublin-III-VO). Die Dublin-III-VO räumt den Schutzsuchenden kein Recht ein, den ihren Antrag prüfenden Staat selber auszuwählen (vgl. BVGE 2010/45 E. 8.3)</w:t>
      </w:r>
    </w:p>
    <w:p>
      <w:r>
        <w:rPr>
          <w:b/>
        </w:rPr>
        <w:t>E. 5.1</w:t>
      </w:r>
    </w:p>
    <w:p>
      <w:r>
        <w:t>Gemäss einem Abgleich mit dem CS-VIS erhielt der Beschwerdeführer von der polnischen Vertretung in Ankara am 21. September 2021 ein Schengenvisum ausgestellt, welches vom 30. September 2021 bis 28. März 2022 gültig ist. Der Betroffene trug seinen afghanischen Reisepass mit dem Schengenvisum bei der Ankunft in die Schweiz auf sich. Daraus ging hervor, dass er am 30. September 2021 in Polen eingereist war (SEM act. 17). Die polnischen Behörden hiessen ein entsprechendes Übernahmeersuchen am 8. November 2021 gestützt auf Art. 12 Abs. 2 Dublin-III-VO gut. Die grundsätzliche Zuständigkeit Polens ist somit gegeben und wird vom Beschwerdeführer nicht bestritten.</w:t>
      </w:r>
    </w:p>
    <w:p>
      <w:r>
        <w:rPr>
          <w:b/>
        </w:rPr>
        <w:t>E. 5.2</w:t>
      </w:r>
    </w:p>
    <w:p>
      <w:r>
        <w:t>Nachfolgend ist demnach im Licht von Art. 3 Abs. 2 Dublin-III-VO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Polen würden systemische Schwachstellen aufweisen, die eine Gefahr einer unmenschlichen oder entwürdigenden Behandlung im Sinne des Artikels 4 der EU-Grundrechtecharta mit sich bringen würden.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In der Rechtsmitteleingabe vom 2. Dezember 2021 macht der Beschwerdeführer unter Wiedergabe von Passagen aus einem Bericht von AIDA (Asylum Information Database) geltend, dass der Zugang zum Hoheitsgebiet Polens für Asylsuchende mittels illegaler Praktiken erschwert werde und im dortigen Asylverfahren systematische Unregelmässigkeiten vorkämen. In Polen sei ihm kein faires Asylverfahren garantiert und er habe in diesem Land alles andere als eine geeignete und würdige Unterbringung zu erwarten. Auch er selber habe in Polen eine unwürdige, unmenschliche Behandlung erfahren und sei von der Polizei erniedrigt worden. Hierzu gilt es vorweg anzumerken, dass es dem Beschwerdeführer nach erfolgter Überstellung in Polen offensteht, dort um Asyl nachzusuchen und damit Zugang zu den asylrechtlichen Aufnahmestrukturen zu erhalten. Der Betroffene hat in diesem Zusammenhang kein konkretes und ernsthaftes Risiko dargetan, die dortigen Behörden würden sich weigern, ihn wiederaufzunehmen und seinen Antrag auf internationalen Schutz unter Einhaltung der Regeln der Verfahrensrichtlinie zu prüfen. Den Akten sind denn auch keine Gründe für die Annahme zu entnehmen,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Polen halte seine völkerrechtlichen Verpflichtungen ein, kann im Einzelfall widerlegt werden. Wie eben erwähnt, bedarf es hierfür aber konkreter und ernsthafter Hinweise. Dies gelingt dem Beschwerdeführer, der in Polen gar nicht erst um Asyl nachgesucht hat, sondern mit einem Schengenvisum ganz legal in besagtes Land eingereist ist, mit seinen Verweisen auf den nicht einzelfallbezogenen Bericht von AIDA indes nicht.</w:t>
      </w:r>
    </w:p>
    <w:p>
      <w:r>
        <w:rPr>
          <w:b/>
        </w:rPr>
        <w:t>E. 7.3</w:t>
      </w:r>
    </w:p>
    <w:p>
      <w:r>
        <w:t>Des Weiteren gibt es auch keine Hinweise für die Annahme, Polen würde dem Beschwerdeführer dauerhaft die ihm gemäss Aufnahmerichtlinie zustehenden minimalen Lebensbedingungen vorenthalten. Bei einer allfälligen vorübergehenden Einschränkung könnte er sich nötigenfalls an die polnischen Behörden wenden und die ihm zustehenden Aufnahmebedingungen auf dem Rechtsweg einfordern (vgl. Art. 26 Aufnahmerichtlinie). Das Bundesverwaltungsgericht geht in seiner Rechtsprechung denn davon aus, dass das polnische Asylverfahren keine relevanten (strukturellen) Defizite aufweist, Asylsuchende die von der Aufnahmerichtlinie garantierten Grundleistungen erhalten und dort keine unmenschliche oder entwürdigende Behandlung im Sinne von Art. 3 EMRK bzw. Art. 4 der Grundrechtecharta zu befürchten haben (vgl. etwa Urteile des BVGer D-3638/2021 vom 17. August 2021 S. 6 - 8, F-1287/2020 vom 3. September 2020 E. 6.1 oder F-3666/2020 vom 23. Juli 2020 E. 5). Die pauschale Kritik des Beschwerdeführers am polnischen Asylsystem vermag daran, wie dargetan, nichts zu ändern.</w:t>
      </w:r>
    </w:p>
    <w:p>
      <w:r>
        <w:rPr>
          <w:b/>
        </w:rPr>
        <w:t>E. 7.4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7.5</w:t>
      </w:r>
    </w:p>
    <w:p>
      <w:r>
        <w:t>Eine solche Situation liegt nicht vor. Der Beschwerdeführer gab anlässlich des Dublin-Gesprächs vom 19. November 2021 an, dass es ihm gut gehe und an nichts fehle. Einzig in Polen habe er sich psychisch vorübergehend nicht wohl gefühlt (SEM act. 20). Auf Beschwerdeebene schob er nach, seit seinem Aufenthalt in Polen bekunde er psychische Probleme. Medizinische Betreuung benötigte er in der Schweiz deswegen nicht. Unabhängig davon leidet der Beschwerdeführer jedoch nicht an gesundheitlichen Beschwerden, die einer Überstellung nach Polen im Sinne der oben zitierten Rechtsprechung entgegenstünden. Im Übrigen verfügt dieses Land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Es liegen keine Hinweise vor, wonach Polen dem Beschwerdeführer eine adäquate medizinische Behandlung verweigern würde (vgl. beispielsweise Urteile des BVGer E-4222/2021 vom 29. September 2021 E. 8.1 oder D-3638/2021 S. 8).</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Polen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Polen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2. Dezember 2021 angeordnete Vollzugsstopp fällt mit vorliegendem Urteil dahin.</w:t>
      </w:r>
    </w:p>
    <w:p>
      <w:r>
        <w:rPr>
          <w:b/>
        </w:rPr>
        <w:t>E. 13</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