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F-5229/2019 vom 20. März 2020</w:t>
      </w:r>
    </w:p>
    <w:p>
      <w:r>
        <w:t>Bundesverwaltungsgericht, 2020-03-20, DE</w:t>
      </w:r>
    </w:p>
    <w:p>
      <w:r>
        <w:rPr>
          <w:b/>
        </w:rPr>
        <w:t xml:space="preserve">Quelle: </w:t>
      </w:r>
      <w:r>
        <w:t>https://mcp.opencaselaw.ch/entscheid/bvger_F-5229_2019</w:t>
      </w:r>
    </w:p>
    <w:p>
      <w:r>
        <w:t>FR: TAF F-5229/2019 du 20 mars 2020</w:t>
      </w:r>
    </w:p>
    <w:p>
      <w:r>
        <w:t>IT: TAF F-5229/2019 del 20 marzo 2020</w:t>
      </w:r>
    </w:p>
    <w:p>
      <w:pPr>
        <w:pStyle w:val="Heading2"/>
      </w:pPr>
      <w:r>
        <w:t>Regeste</w:t>
      </w:r>
    </w:p>
    <w:p>
      <w:r>
        <w:t>Schengen-Visum</w:t>
      </w:r>
    </w:p>
    <w:p>
      <w:pPr>
        <w:pStyle w:val="Heading2"/>
      </w:pPr>
      <w:r>
        <w:t>Erwägungen</w:t>
      </w:r>
    </w:p>
    <w:p>
      <w:r>
        <w:rPr>
          <w:b/>
        </w:rPr>
        <w:t>E. 1.1</w:t>
      </w:r>
    </w:p>
    <w:p>
      <w:r>
        <w:t>Die Einspracheentscheide des SEM bezüglich Schengen-Visa sind mit Beschwerde beim Bundesverwaltungsgericht anfechtbar (Art. 112 Abs. 1 AIG [SR 142.20] i.V.m. Art. 31 ff. VGG). Das Rechtsmittelverfahren richtet sich nach dem VwVG, soweit das VGG nichts anderes bestimmt (Art. 37 VGG).</w:t>
      </w:r>
    </w:p>
    <w:p>
      <w:r>
        <w:rPr>
          <w:b/>
        </w:rPr>
        <w:t>E. 1.2</w:t>
      </w:r>
    </w:p>
    <w:p>
      <w:r>
        <w:t>Der Beschwerdeführer hat am vorangegangenen Einspracheverfahren teilgenommen und ist als Gastgeber durch die angefochtene Verfügung besonders berührt. Der fest anberaumte Besuchszeitraum ist inzwischen abgelaufen. Durch die Einreichung des Rechtsmittels hat der Beschwerdeführer jedoch kundgetan, dass er sein Rechtsschutzinteresse aufrechterhält. Auf die frist- und formgerecht eingereichte Beschwerde ist daher einzutreten (Art. 50 und 52 VwVG).</w:t>
      </w:r>
    </w:p>
    <w:p>
      <w:r>
        <w:rPr>
          <w:b/>
        </w:rPr>
        <w:t>E. 1.3</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2011/43 E. 6.1).</w:t>
      </w:r>
    </w:p>
    <w:p>
      <w:r>
        <w:rPr>
          <w:b/>
        </w:rPr>
        <w:t>E. 3</w:t>
      </w:r>
    </w:p>
    <w:p>
      <w:r>
        <w:t>Der angefochtenen Verfügung liegt das Gesuch eines in den VAE lebenden indischen Staatsangehörigen um Erteilung eines Visums für einen einmonatigen Besuchsaufenthalt in der Schweiz zugrunde. Da sich der Gesuchsteller nicht auf die EU/EFTA-Personenfreizügigkeitsabkommen berufen kann und die beabsichtigte Aufenthaltsdauer 90 Tage nicht überschreitet, fällt die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vom 15. August 2018 über die Einreise und die Visumerteilung [VEV, SR 142.204]); vgl. auch Art. 2 Ziff. 6 SGK; Art. 5 Abs. 1 Bst. a AIG). Als indischer Staatsangehöriger unterliegt der Gesuchsteller unbestrittenermassen der Visumpflicht (Anhang I der bereits erwähnten Verordnung Nr. 2018/1806; Art. 8 Abs. 1 VEV).</w:t>
      </w:r>
    </w:p>
    <w:p>
      <w:r>
        <w:rPr>
          <w:b/>
        </w:rPr>
        <w:t>E. 4.2</w:t>
      </w:r>
    </w:p>
    <w:p>
      <w:r>
        <w:t>Voraussetzung zur Visumerteilung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aber auch das Schengen-Recht nicht (BVGE 2014/1 E. 4.1.1 und E. 4.1.5; 2011/48 E. 4; Urteil des BVGer F-7617/2016 vom 12. März 2018 E. 4.1).</w:t>
      </w:r>
    </w:p>
    <w:p>
      <w:r>
        <w:rPr>
          <w:b/>
        </w:rPr>
        <w:t>E. 4.4</w:t>
      </w:r>
    </w:p>
    <w:p>
      <w:r>
        <w:t>Sind sämtliche Voraussetzungen für die Visumerteilung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Visumerteilung erfüllt sind, ein weiter Beurteilungsspielraum zu (BVGE 2014/1 E. 4.1.5 in fine).</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5.1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5.2</w:t>
      </w:r>
    </w:p>
    <w:p>
      <w:r>
        <w:t>Die Öffnung der Wirtschaft im Jahr 1991 führte in Indien zu einer rasanten wirtschaftlichen Entwicklung. In der Informationstechnologie oder der Forschung (insbesondere der Biotechnologie) gehört Indien zu den führenden Ländern der Welt. Nach wie vor ist das Land jedoch von krasser Armut und extremer Ungleichheit der Lebenschancen geprägt. Indien hat weltweit die grösste Zahl an absolut armen Menschen. Etwa 22 % der Bevölkerung lebt unterhalb der Armutsgrenze von 1,90 USD pro Tag. 58 % aller Inder stehen weniger als 3,10 USD pro Tag zur Verfügung. Gemäss dem aktuellen Bericht zur menschlichen Entwicklung (Human Development Report) figuriert Indien auf Platz 130. Zwar ist der Indexwert in den vergangenen Jahren gestiegen, doch zeigen die Werte für Einkommen, Bildung oder Lebenserwartung deutlich, dass die aufstrebende Wirtschaftsmacht Indien noch viele Hürden zu nehmen hat, bis von einem die breite Masse erfassenden Wohlstand gesprochen werden kann (Quelle: LIPortal Das Länderinformationsportal, www.liportal.de &gt; Indien &gt; Wirtschaft und Entwicklung, Wirtschaftsentwicklung sowie Armutsbekämpfung, besucht im Februar 2020; Deutsches Auswärtiges Amt, www.auswertiges-amt.de &gt; Aussen- und Europapolitik &gt; Länder &gt; Indien &gt; Bilaterale Beziehungen, Stand 28. Februar 2020, besucht im März 2020).</w:t>
      </w:r>
    </w:p>
    <w:p>
      <w:r>
        <w:rPr>
          <w:b/>
        </w:rPr>
        <w:t>E. 5.3</w:t>
      </w:r>
    </w:p>
    <w:p>
      <w:r>
        <w:t>Aktenkundig hat der Gast Indien verlassen und lebt seit 2018 in den VAE, in (...), wo er seit 21. Juni 2018 als «Light Vehicle Driver» für das ortsansässige Unternehmen «C._______» arbeitet (SEM-act. 3/19).</w:t>
      </w:r>
    </w:p>
    <w:p>
      <w:r>
        <w:rPr>
          <w:b/>
        </w:rPr>
        <w:t>E. 5.4</w:t>
      </w:r>
    </w:p>
    <w:p>
      <w:r>
        <w:t>Zwar besteht in den VAE allgemein ein hohes Wohlstandsniveau, doch präsentiert sich die Lage der Millionen ausländischer Arbeitnehmer mehrheitlich anders. In seinem Jahresbericht von 2016 hält Amnesty International fest, dass Arbeitsmigranten in den VAE - ungeachtet der Schutzklauseln im Arbeitsgesetz von 1980 sowie nachfolgender Dekrete - weiterhin ausgebeutet und misshandelt werden. Das Sponsorensystem («kafala») mache es Arbeitgebern («Sponsoren») leicht, Arbeitsmigranten auszubeuten. Beteiligen sie sich an Streiks oder anderen gewerkschaftlichen Aktionen, drohe ihnen Haft und Ausweisung (vgl. www.amnesty.de &gt; Jahresbericht 2016 &gt; Vereinigte Arabische Emirate &gt;Rechte von Arbeitsmigranten, 30. Mai 2016, besucht im Februar 2020). Obwohl das öffentliche Leben in den VAE durch eine für die Region weitgehende Liberalität gekennzeichnet ist, unterliegen die Rechte von Arbeitsmigranten deutlichen Einschränkungen, (vgl. Deutsches Auswärtiges Amt, www.auswertiges-amt.de &gt; Vereinigte Arabische Emirate (VAE) &gt; Politisches Porträt, Stand 2. Oktober 2019, besucht im März 2020).</w:t>
      </w:r>
    </w:p>
    <w:p>
      <w:r>
        <w:rPr>
          <w:b/>
        </w:rPr>
        <w:t>E. 6.1</w:t>
      </w:r>
    </w:p>
    <w:p>
      <w:r>
        <w:t>Vor diesem Hintergrund ist nicht zu beanstanden, dass das SEM das Risiko einer nicht fristgerechten Ausreise von aus Indien stammenden Gesuchstellern als hoch einschätzt. Ein im Zielland Schweiz bestehendes, minimales soziales Beziehungsnetz aus Verwandten oder Freunden ist zudem ein wichtiges Element, das den Entscheid dorthin auszuwandern erleichtern kann. Angesichts der restriktiven Zulassungsregelung führt dies nicht selten zur Umgehung von ausländerrechtlichen Bestimmungen, indem die Gesuchstellenden - einmal eingereist - versuchen, den Aufenthalt auf eine ganz andere rechtliche Basis abzustützen (BVGE 2014/1 E. 6.2.2). Das Risiko einer nicht fristgerechten Wiederausreise des Gastes ist demnach grundsätzlich als hoch einzuschätzen.</w:t>
      </w:r>
    </w:p>
    <w:p>
      <w:r>
        <w:rPr>
          <w:b/>
        </w:rPr>
        <w:t>E. 6.2</w:t>
      </w:r>
    </w:p>
    <w:p>
      <w:r>
        <w:t>In die Prognose über die Absicht einer gesuchstellenden Person, den Schengen-Raum fristgerecht zu verlassen, sind weiter deren persönliche, familiäre und berufliche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6.3</w:t>
      </w:r>
    </w:p>
    <w:p>
      <w:r>
        <w:t>Beim Gast handelt es sich um einen 39-jährigen Mann, der gemäss seinen Angaben verheiratet ist (SEM-act. 3/29). Ob es sich dabei um eine gelebte Partnerschaft handelt, ob seine Ehefrau mit ihm in den VAE oder alleine in Indien lebt, geht aus den Akten nicht hervor. Der Beschwerdeführer macht lediglich geltend, sein Gast würde sein Umfeld niemals verlassen. Weitere Angaben zum privaten Hintergrund des Gastes werden nicht gemacht. Besondere soziale oder familiäre Verpflichtungen, welche diesen von einer Emigration abhalten könnten, sind damit nicht erkennbar.</w:t>
      </w:r>
    </w:p>
    <w:p>
      <w:r>
        <w:rPr>
          <w:b/>
        </w:rPr>
        <w:t>E. 6.4</w:t>
      </w:r>
    </w:p>
    <w:p>
      <w:r>
        <w:t>Damit ist der wirtschaftlichen Situation des Gastes ein besonderes Augenmerk zu widmen.</w:t>
      </w:r>
    </w:p>
    <w:p>
      <w:r>
        <w:rPr>
          <w:b/>
        </w:rPr>
        <w:t>E. 6.4.1</w:t>
      </w:r>
    </w:p>
    <w:p>
      <w:r>
        <w:t>Der Aktennotiz der Botschaft ist zu entnehmen, dass der Gast als «Light Vehicle Driver» in den VAE für ein geringes Einkommen arbeitet (vgl. Sachverhalt Bst. B). Gemäss dem Schreiben seines Arbeitgebers vom 25. Juni 2019 beziffert sich sein monatlicher Lohn jedoch auf 6'000 AED (SEM-act. 3/19). Dies entspricht einem Betrag von Fr. 1'516.20- (Umrechnungskurs vom 9. März 2020).</w:t>
      </w:r>
    </w:p>
    <w:p>
      <w:r>
        <w:rPr>
          <w:b/>
        </w:rPr>
        <w:t>E. 6.4.2</w:t>
      </w:r>
    </w:p>
    <w:p>
      <w:r>
        <w:t>Auf Beschwerdeebene wird nunmehr geltend gemacht, der Gast gehe in den VAE als Speditionsleiter einer hoch angesehenen Erwerbstätigkeit nach. Sein dortiger Verdienst entspreche in etwa einem Einkommen in der Schweiz. Er habe in Dubai ein angesehenes Lebensumfeld und lebe nicht in «armen Verhältnissen».</w:t>
      </w:r>
    </w:p>
    <w:p>
      <w:r>
        <w:rPr>
          <w:b/>
        </w:rPr>
        <w:t>E. 6.4.3</w:t>
      </w:r>
    </w:p>
    <w:p>
      <w:r>
        <w:t>Der eingereichte Auszug aus dem Konto des Gastes lässt diese Angaben noch einmal in einem anderen Licht erscheinen. So weist der erwähnte Kontoauszug (...) per 25. Juni 2019 einen Saldo von 37'479.47 AED (ungefähr Fr. 9'471.-; Umrechnungskurs vom 9. März 2020) aus. Es fällt auf, dass auf dieses Konto unregelmässige Zahlungen getätigt wurden, nämlich am 9., 13. und 29. Dezember 2018. Des Weiteren am 31. Januar 2019 sowie am 28. Februar 2019, am 23. März 2019 und am 11. Juni 2019. Die Höhe der Einzahlungen betrug jeweils 6'000.- AED. Da die letztere Einzahlung von einer Person namens «D._______», die übrigen von einer Person namens «E._______» getätigt wurden (SEM-act. 1/16 f.), nähren sich jedoch Zweifel, ob es sich bei den erwähnten Einzahlungen um Lohnzahlungen seines Arbeitgebers (dem Unternehmen «C._______») handelt.</w:t>
      </w:r>
    </w:p>
    <w:p>
      <w:r>
        <w:rPr>
          <w:b/>
        </w:rPr>
        <w:t>E. 6.5</w:t>
      </w:r>
    </w:p>
    <w:p>
      <w:r>
        <w:t>Demnach kann nicht davon ausgegangen werden, dass der Gast tatsächlich über eine massgebliche berufliche Verankerung beziehungsweise eine gesicherte wirtschaftliche Existenz in den VAE verfügt, welche die Gefahr eines Verbleibens in der Schweiz respektive im Schengen-Raum über den deklarierten Zeitraum hinaus als unwahrscheinlich erscheinen lässt.</w:t>
      </w:r>
    </w:p>
    <w:p>
      <w:r>
        <w:rPr>
          <w:b/>
        </w:rPr>
        <w:t>E. 6.6</w:t>
      </w:r>
    </w:p>
    <w:p>
      <w:r>
        <w:t>Des Weiteren geht aus der bereits erwähnten Aktennotiz der Botschaft hervor, dass der Gast am 1. April 2019 bei den tschechischen Behörden die Erteilung eines Visums beantragt hat, welches mit der Begründung verweigert wurde, seine Absicht, vor Ablauf des Visums aus dem Hoheitsgebiet der Schengen-Mitgliedstaaten auszureisen, habe nicht hinreichend festgestellt werden können. Sein Reisepass beinhalte neben einem unbenutzten chinesischen Visum auch ein unbenutztes für Thailand. Zudem enthalte er einen Stempel vom 10. Juni 2016 («Endorsement-Stempel) von Rumänien. Ferner sei er im Jahr 2019 zwei Tage in die Türkei gereist (SEM-act. 3/30). Demnach ist der Eindruck, wonach der Gast einen Aufenthalt ausserhalb Indiens und den VAE in Betracht zieht, nicht von der Hand zu weisen.</w:t>
      </w:r>
    </w:p>
    <w:p>
      <w:r>
        <w:rPr>
          <w:b/>
        </w:rPr>
        <w:t>E. 6.7</w:t>
      </w:r>
    </w:p>
    <w:p>
      <w:r>
        <w:t>Zusammenfassend ergibt sich, dass dem Gast weder in den VAE noch in Indien besondere berufliche, familiäre oder gesellschaftliche Verpflichtungen obliegen. Vor dem geschilderten Hintergrund erscheint das Risiko, dass der Gast die Schweiz nach seinem Besuchsaufenthalt nicht wieder rechtzeitig verlassen könnte, erheblich. Daran vermögen auch die gegenteiligen Zusicherungen des Beschwerdeführers nichts zu ändern: Gastgeber können zwar für bestimmte finanzielle Risiken im Zusammenhang mit dem Besuchsaufenthalt, nicht aber für ein bestimmtes Tun oder Unterlassen ihres Gastes rechtswirksam einstehen (vgl. BVGE 2014/1 E. 6.3.7 mit Hinweis auf BVGE 2009/27 E. 9).</w:t>
      </w:r>
    </w:p>
    <w:p>
      <w:r>
        <w:rPr>
          <w:b/>
        </w:rPr>
        <w:t>E. 7</w:t>
      </w:r>
    </w:p>
    <w:p>
      <w:r>
        <w:t>Unter Berücksichtigung der allgemeinen Situation im Herkunftsland und vor dem dargelegten persönlichen Hintergrund durfte die Vorinstanz davon ausgehen, dass keine hinreichende Gewähr für eine fristgerechte und anstandslose Wiederausreise des Gastes nach einem Besuchsaufenthalt besteht. Demnach wurde das Visum für den gesamten Schengen-Raum zu Recht verweigert. Gründe humanitärer oder anderer Art, welche die Erteilung eines Visums mit räumlich beschränkter Gültigkeit gerechtfertigt hätten (vgl. dazu E. 4.5 vorstehend), wurden nicht geltend gemacht.</w:t>
      </w:r>
    </w:p>
    <w:p>
      <w:r>
        <w:rPr>
          <w:b/>
        </w:rPr>
        <w:t>E. 8</w:t>
      </w:r>
    </w:p>
    <w:p>
      <w:r>
        <w:t>Die angefochtene Verfügung ist im Lichte von Art. 49 VwVG nicht zu beanstanden. Die Beschwerde ist deshalb abzuweisen.</w:t>
      </w:r>
    </w:p>
    <w:p>
      <w:r>
        <w:rPr>
          <w:b/>
        </w:rPr>
        <w:t>E. 9</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