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F-5215/2016 vom 26. Juni 2017</w:t>
      </w:r>
    </w:p>
    <w:p>
      <w:r>
        <w:t>Bundesverwaltungsgericht, 2017-06-26, FR</w:t>
      </w:r>
    </w:p>
    <w:p>
      <w:r>
        <w:rPr>
          <w:b/>
        </w:rPr>
        <w:t xml:space="preserve">Quelle: </w:t>
      </w:r>
      <w:r>
        <w:t>https://mcp.opencaselaw.ch/entscheid/bvger_F-5215_2016</w:t>
      </w:r>
    </w:p>
    <w:p>
      <w:r>
        <w:t>FR: TAF F-5215/2016 du 26 juin 2017</w:t>
      </w:r>
    </w:p>
    <w:p>
      <w:r>
        <w:t>IT: TAF F-5215/2016 del 26 giugno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Aussi peut-il admettre ou rejeter le pourvoi pour d'autres motifs que ceux invoqués. Dans son arrêt, le Tribunal prend en considération l'état de fait prévalant au moment où il statue (cf. ATAF 2014/1 consid. 2).</w:t>
      </w:r>
    </w:p>
    <w:p>
      <w:r>
        <w:rPr>
          <w:b/>
        </w:rPr>
        <w:t>E. 3</w:t>
      </w:r>
    </w:p>
    <w:p>
      <w:r>
        <w:t>Préalablement à l'examen au fond, le Tribunal tient à rappeler que le cadre litigieux de la présente procédure est circonscrit par le dispositif de la décision querellée du 30 juin 2016 à la seule question de l'interdiction d'entrée en Suisse, respectivement dans l'Espace Schengen, et qu'il ne concerne pas la question du renvoi du recourant, ni celle de l'exécution de son renvoi, ni encore moins celle de l'obtention d'une quelconque autorisation de séjour dans le canton de Vaud (cf. décision incidente du 29 septembre 2016). Dans ce contexte, il sied de noter aussi que la présente procédure de recours ne porte pas sur la question de la rétention de l'intéressé qui a été ordonnée par le Service de la population du canton de Vaud dans le cadre de la procédure Dublin (cf. courrier du 5 novembre 2015). Par conséquent, les griefs tirés d'une part de la non prise en compte de l'état de santé prétendument « critique » de l'intéressé dans l'organisation de son renvoi vers l'Italie et, d'autre part, de l'application (injustifiée) de la mesure de contrainte prise à son égard (cf. mémoire de recours, p. 3) sortent du cadre litigieux défini plus haut.</w:t>
      </w:r>
    </w:p>
    <w:p>
      <w:r>
        <w:rPr>
          <w:b/>
        </w:rPr>
        <w:t>E. 4.1</w:t>
      </w:r>
    </w:p>
    <w:p>
      <w:r>
        <w:t>Selon l'art. 67 al. 2 LEtr,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 cf. aussi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a été condamnée dans un État membre pour une infraction passible d'une peine privative de liberté d'au moins un an (cf. art. 24 par. 2 let. a SIS II).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Tribunal administratif fédéral C-5819/2012 du 26 août 2014 consid. 4 [non publié dans ATAF 2014/20] et C-2178/2013 du 9 avril 2014 consid. 3.2, et la jurisprudence citée).</w:t>
      </w:r>
    </w:p>
    <w:p>
      <w:r>
        <w:rPr>
          <w:b/>
        </w:rPr>
        <w:t>E. 4.3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4.4</w:t>
      </w:r>
    </w:p>
    <w:p>
      <w:r>
        <w:t>Une interdiction d'entrée peut notamment être prononcée lorsque l'étranger a violé les prescriptions du droit en matière d'étrangers (cf. message précité, FF 2002 3568). Selon la jurisprudence, le fait d'entrer, de séjourner et/ou de travailler en Suisse sans autorisation constitue une violation grave des prescriptions de police des étrangers (cf. notamment les arrêts du Tribunal administratif fédéral F-1919/2016 du 6 octobre 2016 consid. 4.4 et C-847/2013 du 21 mars 2014 consid. 5.3.3, avec la jurisprudence citée).</w:t>
      </w:r>
    </w:p>
    <w:p>
      <w:r>
        <w:rPr>
          <w:b/>
        </w:rPr>
        <w:t>E. 4.5</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Message précité du 8 mars 2002, p. 3568 ad art. 66 du projet). L'autorité compétente examine selon sa libre appréciation si une interdiction d'entrée doit être prononcée. Elle doit donc procéder à une pondération méticuleuse de l'ensemble des intérêts en présence et respecter le principe de la proportionnalité.</w:t>
      </w:r>
    </w:p>
    <w:p>
      <w:r>
        <w:rPr>
          <w:b/>
        </w:rPr>
        <w:t>E. 5</w:t>
      </w:r>
    </w:p>
    <w:p>
      <w:r>
        <w:t>En l'occurrence, le SEM a rendu le 30 juin 2016 une décision d'interdiction d'entrée d'une durée de sept ans à l'encontre d'A._______. Il a considéré qu'une telle mesure d'éloignement s'imposait en raison de la persistance avec laquelle le prénommé contrevenait à l'ordre juridique en Suisse, en ajoutant que les actes délictueux « à répétition » perpétrés par celui-ci démontraient manifestement son incapacité à respecter l'ordre et la sécurité publics.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w:t>
      </w:r>
    </w:p>
    <w:p>
      <w:r>
        <w:rPr>
          <w:b/>
        </w:rPr>
        <w:t>E. 5.1</w:t>
      </w:r>
    </w:p>
    <w:p>
      <w:r>
        <w:t>L'extrait du casier judiciaire suisse délivré le 30 juin 2016 montre que le comportement d'A._______ durant sa présence sur territoire helvétique a donné lieu, en l'espace de quatre ans, à pas moins de six condamnations pénales.</w:t>
      </w:r>
    </w:p>
    <w:p>
      <w:r>
        <w:rPr>
          <w:b/>
        </w:rPr>
        <w:t>E. 5.2</w:t>
      </w:r>
    </w:p>
    <w:p>
      <w:r>
        <w:t>A ce stade, il s'impose donc de retenir que le recourant, par son comportement délictueux adopté à réitérées reprises, a indiscutablement attenté à la sécurité et à l'ordre publics en Suisse, de sorte qu'il remplit incontestablement les conditions d'application de l'art. 67 al. 2 let. a LEtr. Aussi la mesure d'interdiction d'entrée prononcée le 30 juin 2016 est-elle parfaitement justifiée dans son principe.</w:t>
      </w:r>
    </w:p>
    <w:p>
      <w:r>
        <w:rPr>
          <w:b/>
        </w:rPr>
        <w:t>E. 5.3</w:t>
      </w:r>
    </w:p>
    <w:p>
      <w:r>
        <w:t>Il convient encore de déterminer si A._______ constitue une menace grave pour la sécurité et l'ordre publics justifiant le prononcé d'une mesure d'éloignement allant au-delà de la durée maximale de cinq ans prévue à l'art. 67 al. 3 1ère phrase LEtr.</w:t>
      </w:r>
    </w:p>
    <w:p>
      <w:r>
        <w:rPr>
          <w:b/>
        </w:rPr>
        <w:t>E. 5.3.1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et réf. cit. [sur l'applicabilité de cette jurisprudence à des ressortissants provenant d'Etats tiers, cf. ATF 139 II précité consid. 6.2]). L'évaluation du risque de récidive sera d'autant plus rigoureuse que le bien juridique menacé est important. Selon la jurisprudence, un tel risque pourra également être admis pour les multirécidivistes qui n'ont pas tiré de leçon de leurs condamnations pénales antérieures (cf. arrêt du Tribunal fédéral 2C_121/2014 du 17 juillet 2014 consid. 4.3).</w:t>
      </w:r>
    </w:p>
    <w:p>
      <w:r>
        <w:rPr>
          <w:b/>
        </w:rPr>
        <w:t>E. 5.3.2</w:t>
      </w:r>
    </w:p>
    <w:p>
      <w:r>
        <w:t>Dans le cas particulier, il convient de reconnaître avec le recourant que les infractions qui lui sont imputées ne revêtent pas, prises individuellement, une intensité suffisante pour constituer une atteinte grave à la sécurité et à l'ordre publics. Il n'en demeure pas moins que la multiplicité de ses agissements coupables constituent indéniablement une menace caractérisée contre les biens juridiquement protégés, ainsi qu'un trouble à l'ordre social, et affectent un intérêt fondamental de la société au sens indiqué plus haut (cf. consid. 4.3). Cela est tout particulièrement vrai s'agissant des infractions à la législation sur les stupéfiants commises par l'intéressé à Lausanne (cf. ordonnances pénales des 12 août et 29 septembre 2015). L'on peut ainsi lire dans cette dernière ordonnance qu'A._______ a été interpellé en cette ville le 28 septembre 2015, « alors qu'il détenait sept pacsons d'héroïne qu'il s'apprêtait à vendre aux toxicomanes réunis autour de lui ». C'est ici le lieu de rappeler que la pratique sévère adoptée par les autorités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et 125 II 521 consid. 4a/aa ; cf. également l'arrêt du Tribunal fédéral 2C_351/ 2008 du 22 octobre 2008 consid. 2.3). La protection de la collectivité publique face au développement du marché de la drogue constitue donc incontestablement un intérêt public prépondérant justifiant l'éloignement d'un étranger qui s'est rendu coupable d'infraction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jurispr. cit.). A ce stade, il est important de souligner que les nombreuses condamnations pénales n'ont aucunement influencé le comportement du recourant. Ce dernier a au contraire démontré une incapacité constante à se conformer à l'ordre public, en particulier à l'interdiction d'entrée dont il est l'objet en Suisse. Aussi le recourant ne saurait-il tirer argument du fait que les infractions retenues contre lui sont de « peu d'importance et sont surtout liées aux conditions de vie extrêmement difficiles (qu'il) devait affronter au quotidien » (cf. mémoire de recours, ch. 14).</w:t>
      </w:r>
    </w:p>
    <w:p>
      <w:r>
        <w:rPr>
          <w:b/>
        </w:rPr>
        <w:t>E. 5.3.3</w:t>
      </w:r>
    </w:p>
    <w:p>
      <w:r>
        <w:t>Au vu de l'ensemble des circonstances, en particulier de la délinquance chronique, de la nature des biens juridiques menacés, de la persistance à séjourner illégalement en Suisse et de l'absence d'un pronostic favorable (cf. ordonnance pénale du 29 septembre 2015, p. 2), force est de constater qu'A._______ représente encore une menace grave pour la sécurité et l'ordre publics. Le prononcé à son endroit d'une mesure d'éloignement d'une durée supérieure à cinq ans s'avère dès lors justifié.</w:t>
      </w:r>
    </w:p>
    <w:p>
      <w:r>
        <w:rPr>
          <w:b/>
        </w:rPr>
        <w:t>E. 6</w:t>
      </w:r>
    </w:p>
    <w:p>
      <w:r>
        <w:t>Il convient encore d'examiner si la durée de la mesure d'éloignement prise par l'autorité inférieure, soit sept ans, satisfait aux principes de proportionnalité et d'égalité de traitement.</w:t>
      </w:r>
    </w:p>
    <w:p>
      <w:r>
        <w:rPr>
          <w:b/>
        </w:rPr>
        <w:t>E. 6.1</w:t>
      </w:r>
    </w:p>
    <w:p>
      <w:r>
        <w:t>6.1.1 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cinq ans et pouvant s'étendre au maximum à quinze ans, voire à vingt ans en cas de récidive (cf. ATAF 2014/20 consid. 7).</w:t>
      </w:r>
    </w:p>
    <w:p>
      <w:r>
        <w:rPr>
          <w:b/>
        </w:rPr>
        <w:t>E. 6.1.2</w:t>
      </w:r>
    </w:p>
    <w:p>
      <w:r>
        <w:t>Toute mesure d'éloignement doit respecter le principe de la proportionnalité, qui s'impose tant en droit interne (cf. art. 5 al. 2 Cst. et 96 LEtr) qu'au regard de la CEDH (cf. art. 8 par. 2 CEDH) lorsque la mesure étatique en cause constitue une ingérence dans l'exercice du droit à la protection de la vie familiale garanti par l'art. 8 par. 1 CEDH (cf. ATF 139 I 145 consid. 2.2).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 voir également les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l'ATF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l'ATF 139 II 121 consid. 6.5.1 et la jurisprudence citée). L'examen sous l'angle de l'art. 8 par. 2 CEDH se confond avec celui imposé par l'art. 96 LEtr (cf. notamment les arrêts du Tribunal fédéral 2C_53/2015 du 31 mars 2015 consid. 5.3 et 2C_139/2014 du 4 juillet 2014 consid. 5). 6.26.2.1 Concernant les deux premières règles susmentionnées, il est indéniable, en l'absence d'un pronostic favorable quant au risque de réitération des types d'infractions commises par le recourant (cf. consid. 5.3.3 supra), que l'éloignement de ce dernier du territoire suisse est apte et nécessaire pour atteindre les buts visés, à savoir protéger l'ordre et la sécurité publics. 6.2.2 S'agissant de la règle de la proportionnalité au sens étroit, il sied de procéder à une pesée des intérêts en présence, à savoir d'un côté l'intérêt privé d'A._______ à pouvoir entrer librement sur le territoire suisse, et d'un autre côté, l'intérêt public à le tenir éloigné afin de protéger l'ordre et la sécurité publics. Dans le cas particulier, l'interdiction d'entrée en Suisse prise à l'endroit du recourant apparaît également justifiée sous cet angle. En ce qui concerne l'intérêt public, il est à noter que l'interdiction d'entrée est une mesure administrative de contrôle qui tend à le tenir éloigné de la Suisse où il a contrevenu aux prescriptions légales en commettant des infractions revêtant une gravité particulière (cf. pour le détail des infractions, let. B supra). Il en va de l'intérêt de l'Etat à voir respecter l'ordre établi et la législation en vigueur (cf. arrêts du Tribunal administratif fédéral F-1919/2016 précité consid. 6.2.2 et C-4334/2014 du 19 mai 2015 consid. 7.2 et réf. cit.). La détermination de la durée d'une interdiction d'entrée dans un cas concret doit tenir compte en particulier de l'importance des biens juridiques menacés et des intérêts privés concernés (cf. ATAF 2014/20 consid. 8.2 et 8.3).</w:t>
      </w:r>
    </w:p>
    <w:p>
      <w:r>
        <w:rPr>
          <w:b/>
        </w:rPr>
        <w:t>E. 6.3</w:t>
      </w:r>
    </w:p>
    <w:p>
      <w:r>
        <w:t>6.3.1 En l'occurrence, les nombreux antécédents pénaux du recourant témoignent des grandes difficultés qu'éprouve ce dernier à se conformer à l'ordre établi, voire d'un certain mépris à l'égard du système juridique et des autorités helvétiques. Par ailleurs, on rappellera que le parcours de l'intéressé, qui a contrevenu à deux reprises à la législation sur les stupéfiants, ne permet pas aux autorités de poser un pronostic favorable à son égard. Compte tenu du comportement répréhensible adopté par A._______ et sa persévérance à menacer les biens juridiquement protégés, le laps de temps qui s'est écoulé depuis sa dernière condamnation pénale le 29 septembre 2015 ne saurait être déterminant pour relativiser la menace qu'il représente toujours pour la Suisse, même s'il ne devait plus avoir commis d'infractions depuis lors. Il existe donc in casu un intérêt public majeur à ce que les entrées de l'intéressé en Suisse soient contrôlées pendant une période relativement longue.</w:t>
      </w:r>
    </w:p>
    <w:p>
      <w:r>
        <w:rPr>
          <w:b/>
        </w:rPr>
        <w:t>E. 6.3.2</w:t>
      </w:r>
    </w:p>
    <w:p>
      <w:r>
        <w:t>Quant à l'intérêt privé d'A._______, le Tribunal constate que l'impossibilité pour ce dernier de demeurer en Suisse découle des procédures d'asile qu'il n'a cessé d'introduire de manière dilatoire auprès des autorités compétentes helvétiques. Au demeurant, le recourant ne fait état d'aucun lien particulier avec ce pays. 6.4 Il découle de ce qui précède que la durée de l'interdiction d'entrée de sept ans s'avère adéquate et proportionnée au vu de l'ensemble des circonstances.7.Le SEM a par ailleurs ordonné l'inscription de l'interdiction d'entrée dans le SIS. Ainsi que cela ressort du dossier, A._______ est un ressortissant d'un pays tiers au sens de la législation de l'Union européenne. En raison de ce signalement dans le SIS, il lui est interdit de pénétrer dans l'Espace Schengen jusqu'au 29 juin 2023.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4.2 in fine). 8.Enfin, dans le cas d'espèce, c'est à bon droit que le SEM n'a pas fait application de l'at. 67 al. 5 LEtr, au vu de la nature et de la fréquence des infractions commises par l'intéressé et de la protection de la sécurité et de l'ordre publics dont il convient de tenir compte. A cet égard, le recourant soutient que la décision d'interdiction d'entrée est disproportionnée, « car la non prise en charge de (l'intéressé) par les autorités italiennes ainsi que la gravité de son état de santé auraient dû conduire l'autorité intimée à s'abstenir de rendre une décision d'interdiction d'entrée au sens de l'art. 67 al. 5 LEtr » (cf. mémoire de recours, ch. 18). Pareil argument ne saurait être retenu dans le cadre de la présente procédure, étant donné que la question de l'évolution de la situation médicale de l'intéressé relève primairement de la compétence des autorités suisses compétentes en matière d'asile et de renvoi de Suisse (cf. décision rendue par le SEM le 16 juillet 2015, p. 6). 9.Il ressort de ce qui précède que, par sa décision du 30 juin 2016, le SEM n'a ni violé le droit fédéral, ni constaté des faits de manière inexacte ou incomplète ; en outre, cette décision n'est pas inopportune (art. 49 PA). En conséquence, le recours doit être rejeté dans la mesure où il est recevable (cf. consid. 3 supra). Vu l'issue de la cause, il y aurait lieu de mettre des frais de procédure à la charge du recourant. Toutefois, en raison de sa situation financière obérée (cf. pièces ressortant du dossier de la cause), il y a lieu de le dispenser du paiement de ces frais, conformément à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