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F-5197/2017 vom 3. Juni 2019</w:t>
      </w:r>
    </w:p>
    <w:p>
      <w:r>
        <w:t>Bundesverwaltungsgericht, 2019-06-03, DE</w:t>
      </w:r>
    </w:p>
    <w:p>
      <w:r>
        <w:rPr>
          <w:b/>
        </w:rPr>
        <w:t xml:space="preserve">Quelle: </w:t>
      </w:r>
      <w:r>
        <w:t>https://mcp.opencaselaw.ch/entscheid/bvger_F-5197_2017</w:t>
      </w:r>
    </w:p>
    <w:p>
      <w:r>
        <w:t>FR: TAF F-5197/2017 du 3 juin 2019</w:t>
      </w:r>
    </w:p>
    <w:p>
      <w:r>
        <w:t>IT: TAF F-5197/2017 del 3 giugno 2019</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Dabei ist es nicht an die Begründung der Begehren gebunden (Art. 62 Abs. 4 VwVG) und kann die Beschwerde auch aus anderen Gründen gutheissen oder abweisen (vgl. BVGE 2014/1 E. 2 m.H.).</w:t>
      </w:r>
    </w:p>
    <w:p>
      <w:r>
        <w:rPr>
          <w:b/>
        </w:rPr>
        <w:t>E. 3</w:t>
      </w:r>
    </w:p>
    <w:p>
      <w:r>
        <w:t>Die angefochtene Verfügung erging unter dem Bürgerrechtsgesetz vom 29. September 1952. Dieser Erlass wurde mit dem am 1. Januar 2018 in Kraft getretenen Bürgerrechtsgesetz vom 20. Juni 2014 (BüG, SR 141.0) aufgehoben (vgl. Art. 49 BüG i.V.m. Ziff. I seines Anhangs). Nach Art. 50 BüG richten sich Erwerb und Verlust des Schweizer Bürgerrechts nach dem Recht, das bei Eintritt des massgebenden Tatbestandes in Kraft steht. Die vorliegende Streitsache ist demnach nach dem bisherigen Recht zu beurteilen.</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des Einbürgerungsentscheids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(Urteil des BVGer F-1684/2017 vom 5. März 2019 E. 3.2 m.H.).</w:t>
      </w:r>
    </w:p>
    <w:p>
      <w:r>
        <w:rPr>
          <w:b/>
        </w:rPr>
        <w:t>E. 5.1</w:t>
      </w:r>
    </w:p>
    <w:p>
      <w:r>
        <w:t>Die erleichterte Einbürgerung kann mit Zustimmung des Heimatkantons nichtig erklärt werden, wenn sie durch falsche Angaben oder Verheimlichung erheblicher Tatsachen erschlichen, d.h. mit einem unlauteren und täuschenden Verhalten erwirkt wurde (Art. 41 Abs. 1 aBüG). Arglist im Sinne des strafrechtlichen Begriffs ist nicht erforderlich. Es genügt, wenn der Betroffene bewusst falsche Angaben macht bzw. die mit dem Gesuch um erleichterte Einbürgerung befasste Behörde bewusst in einem falschen Glauben lässt und so den Vorwurf auf sich zieht, es unterlassen zu haben, über eine erhebliche Tatsache zu informieren. 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nach Art. 13 Abs. 1 Bst. a VwVG (BGE 140 II 65 E. 2.2 m.H.). Die diesbezüglichen Einwände des Beschwerdeführers stossen vor diesem Hintergrund ins Leere.</w:t>
      </w:r>
    </w:p>
    <w:p>
      <w:r>
        <w:rPr>
          <w:b/>
        </w:rPr>
        <w:t>E. 5.2</w:t>
      </w:r>
    </w:p>
    <w:p>
      <w:r>
        <w:t>Die Möglichkeit der Nichtigerklärung geht durch Zeitablauf unter. Nach Art. 41 Abs. 1bis aBüG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(Urteil des BVGer F-672/2017 vom 31. Juli 2018 E. 7.1).</w:t>
      </w:r>
    </w:p>
    <w:p>
      <w:r>
        <w:rPr>
          <w:b/>
        </w:rPr>
        <w:t>E. 5.3</w:t>
      </w:r>
    </w:p>
    <w:p>
      <w:r>
        <w:t>Vorliegend sind die Fristen von Art. 41 aBüG eingehalten. Auch die Zustimmung des zuständigen Heimatkantons liegt vor. Die formellen Voraussetzungen für die Nichtigerklärung der erleichterten Einbürgerung sind somit erfüllt.</w:t>
      </w:r>
    </w:p>
    <w:p>
      <w:r>
        <w:rPr>
          <w:b/>
        </w:rPr>
        <w:t>E. 6.1</w:t>
      </w:r>
    </w:p>
    <w:p>
      <w:r>
        <w:t>Das Verfahren zur Nichtigerklärung der erleichterten Einbürgerung richtet sich nach den Bestimmungen des Verwaltungsverfahrensgesetzes (vgl. Art. 1 Abs. 1 und Abs. 2 Bst. cbis VwVG). Demnach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135 II 161 E. 3 m.H.).</w:t>
      </w:r>
    </w:p>
    <w:p>
      <w:r>
        <w:rPr>
          <w:b/>
        </w:rPr>
        <w:t>E. 6.2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z.B.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vermag glaubhaft darzulegen, dass sie die Ernsthaftigkeit der ehelichen Probleme zum Zeitpunkt der erleichterten Einbürgerung nicht erkannte (BGE 135 II 161 E. 3 m.H.).</w:t>
      </w:r>
    </w:p>
    <w:p>
      <w:r>
        <w:rPr>
          <w:b/>
        </w:rPr>
        <w:t>E. 7.1</w:t>
      </w:r>
    </w:p>
    <w:p>
      <w:r>
        <w:t>In der angefochtenen Verfügung hielt die Vorinstanz fest, die zeitliche Abfolge begründe die Vermutung, die Ehe des Beschwerdeführers sei zum Zeitpunkt der erleichterten Einbürgerung nicht mehr stabil und zukunftsgerichtet gewesen. Hierbei stützte sie sich insbesondere auf die kurze Zeitspanne von knapp 4 Monaten zwischen der Rechtskraft der erleichterten Einbürgerung am 19. Januar 2015 und der Trennung am 7. Mai 2015.</w:t>
      </w:r>
    </w:p>
    <w:p>
      <w:r>
        <w:rPr>
          <w:b/>
        </w:rPr>
        <w:t>E. 7.2</w:t>
      </w:r>
    </w:p>
    <w:p>
      <w:r>
        <w:t>Diese Schlussfolgerung der Vorinstanz ist im Ergebnis nicht zu beanstanden. Zwischen der rechtskräftigen erleichterten Einbürgerung und der Trennung Anfang Mai 2015 lagen nur knapp 4 Monate. Das Eheschutzbegehren wurde am 28. Mai 2015 eingereicht. Das gemeinsame Scheidungsbegehren vom 2. Oktober 2015 führte sodann am 13. November 2015 zur Scheidung der Ehegatten. Diese enge zeitliche Abfolge begründet die natürliche Vermutung im Sinne der bundesgerichtlichen Rechtsprechung (vgl. hierzu vorn E. 6.1).</w:t>
      </w:r>
    </w:p>
    <w:p>
      <w:r>
        <w:rPr>
          <w:b/>
        </w:rPr>
        <w:t>E. 8</w:t>
      </w:r>
    </w:p>
    <w:p>
      <w:r>
        <w:t>Damit stellt sich die Frage, ob es dem Beschwerdeführer gelungen ist, glaubhaft darzulegen, dass ein erst nach der Einbürgerung eingetretenes, ausserordentliches Ereignis zum Scheitern der bis dahin intakten und zukunftsgerichteten Ehe führte, oder aber, dass er die Schwere der ehelichen Probleme nicht erkannte und aufrichtig an den Fortbestand der Ehe glaubte (vgl. E. 6.2).</w:t>
      </w:r>
    </w:p>
    <w:p>
      <w:r>
        <w:rPr>
          <w:b/>
        </w:rPr>
        <w:t>E. 8.1</w:t>
      </w:r>
    </w:p>
    <w:p>
      <w:r>
        <w:t>Der Beschwerdeführer bringt vor, eine Schlägerei in seinem Restaurant im Januar 2015 stelle ein solch ausserordentliches Ereignis dar. Der Restaurantbetrieb sei nach der Übernahme im März 2014 gut gelaufen und erst die Schlägerei habe dem Geschäft geschadet, weshalb er zur Betriebsrettung deutlich mehr habe arbeiten müssen. Die ehelichen Probleme seien - wie von den Ehegatten im vorinstanzlichen Verfahren einstimmig erklärt - erst Anfang 2015 entstanden. Davor sei die eheliche Gemeinschaft intakt und zukunftsgerichtet gewesen (BVGer-act. 1 und 14).</w:t>
      </w:r>
    </w:p>
    <w:p>
      <w:r>
        <w:rPr>
          <w:b/>
        </w:rPr>
        <w:t>E. 8.2</w:t>
      </w:r>
    </w:p>
    <w:p>
      <w:r>
        <w:t>Die Vorinstanz ist demgegenüber der Auffassung, die Ehegatten hätten bereits zum Zeitpunkt der erleichterten Einbürgerung nicht mehr in stabilen Verhältnissen gelebt. Die zeitintensive Geschäftsführung des Restaurants habe der Beschwerdeführer bereits im März 2014 aufgenommen, wodurch sich seine Ehefrau vernachlässigt gefühlt habe. Auch die schwierige finanzielle Situation habe ehebelastend gewirkt. Eine einzelne Schlägerei könne nicht zur Eheauflösung geführt haben; dieser sei vielmehr ein längerer Zerrüttungsprozess vorausgegangen (SEM-act. 23/S. 137-140; BVGer-act. 10).</w:t>
      </w:r>
    </w:p>
    <w:p>
      <w:r>
        <w:rPr>
          <w:b/>
        </w:rPr>
        <w:t>E. 9.1</w:t>
      </w:r>
    </w:p>
    <w:p>
      <w:r>
        <w:t>Die Schlägerei im Restaurant im Januar 2015 und deren weitreichende Auswirkungen auf den Betrieb werden zwar behauptet, jedoch weder hinreichend substantiiert noch belegt. Im Eheschutzverfahren gab der Beschwerdeführer vielmehr zu Protokoll, dass der Restaurantbetrieb schon im ersten Jahr nicht gut gelaufen sei (Beweisaussage vom 21. Juli 2015; Beilage 10 zu den SEM-act.). Auch die GmbH-Gründung im November 2014 lässt - anders als vom Beschwerdeführer behauptet - nicht den Schluss zu, dass sein Betrieb zu diesem Zeitpunkt gut gelaufen wäre. Im Übrigen wurde die Schlägerei weder vom Beschwerdeführer noch von seiner Ehefrau zu Beginn des vorinstanzlichen Verfahrens erwähnt (vgl. Stellungnahmen vom 8. April 2016 und vom 12. Oktober 2016; SEM-act. 5 und 11), sondern erst im Laufe des Verfahrens vorgebracht (vgl. Stellungnahme vom 13. Mai 2016; SEM-act. 7/S. 84 f.), weshalb es sich dabei nicht um ein derart einschneidendes Ereignis handeln kann.</w:t>
      </w:r>
    </w:p>
    <w:p>
      <w:r>
        <w:rPr>
          <w:b/>
        </w:rPr>
        <w:t>E. 9.2</w:t>
      </w:r>
    </w:p>
    <w:p>
      <w:r>
        <w:t>Im Weiteren ist - entgegen der Auffassung des Beschwerdeführers - davon auszugehen, dass seine Arbeitsbelastung aufgrund des Restaurantbetriebs schon seit der Übernahme im März 2014 hoch war und dieser Umstand ehebelastend wirkte. So zeugen die Aussagen der Ehefrau gegenüber der Vorinstanz von einem längeren Zerrüttungsprozess. Sie habe ihrem Ehemann immer wieder Vorwürfe wegen der hohen Arbeitsbelastung und Vernachlässigung der Ehe gemacht; schliesslich seien die Gefühle für ihren Ehemann erloschen (Stellungnahme vom 12. Oktober 2016; SEM-act. 11/S. 106). Auch der Beschwerdeführer räumt ein, seine Frau habe sein Engagement für das Restaurant nie akzeptiert (vgl. SEM-act. 14/S. 114). Vor diesem Hintergrund erscheinen die Aussagen der Ehegatten, wonach die Eheprobleme erst 2015 begonnen hätten, nicht glaubhaft. Auch die vorgedruckten Bestätigungen von Verwandten und Drittpersonen, wonach die Ehegatten bis Ende 2014 in einer intakten und stabilen Ehe gelebt hätten, lassen keine anderen Schlussfolgerungen zu. Für Aussenstehende dürfte es schwierig sein, den Zustand einer Ehe zu beurteilen, weshalb den Bestätigungen nicht die vom Beschwerdeführer behauptete Beweiskraft zukommt. Im Übrigen bestanden schon während des Einbürgerungsverfahrens Anhaltspunkte für das Vorliegen einer Scheinehe (vgl. den Erhebungsbericht zur erleichterten Einbürgerung vom 25. April 2014 inkl. Begleitbrief vom 1. Mai 2014 in SEM-act. 0).</w:t>
      </w:r>
    </w:p>
    <w:p>
      <w:r>
        <w:rPr>
          <w:b/>
        </w:rPr>
        <w:t>E. 9.3</w:t>
      </w:r>
    </w:p>
    <w:p>
      <w:r>
        <w:t>Der Beschwerdeführer hat anlässlich der Übernahme des Restaurantbetriebs einen Kredit über Fr. 50'000.- auf- sowie Schulden in der Höhe von rund Fr. 25'000.- übernommen, da der Betrieb nicht gut lief (Beweisaussage im Protokoll zum Eheschutzverfahren vom 21. Juli 2015; Beilage 10 zu den SEM-act.). Die Ehefrau war offenbar von Mai 2014 bis März 2015 beim RAV angemeldet (Beweisaussage im Protokoll zum Eheschutzverfahren vom 21. Juli 2015; Beilage 11 zu den SEM-act.). Es ist davon auszugehen, dass diese unvorteilhafte finanzielle Situation ebenfalls ehebelastend wirkte, was der Beschwerdeführer zunächst auch selbst einräumte (Beschwerdeschrift Ziff. 10 am Ende), dann aber bestritt (BVGer-act. 14 Ziff. 3).</w:t>
      </w:r>
    </w:p>
    <w:p>
      <w:r>
        <w:rPr>
          <w:b/>
        </w:rPr>
        <w:t>E. 9.4</w:t>
      </w:r>
    </w:p>
    <w:p>
      <w:r>
        <w:t>Insgesamt ist es dem Beschwerdeführer somit nicht gelungen, glaubhaft aufzuzeigen, dass ein erst nach der Einbürgerung eingetretenes, ausserordentliches Ereignis zum Scheitern der Ehe geführt hat, oder aber, dass er die Schwere der ehelichen Probleme nicht erkannte. Nach dem Gesagten ist die Schlussfolgerung der Vorinstanz, die eheliche Gemeinschaft sei zum Zeitpunkt der Einbürgerung nicht mehr stabil gewesen, nicht zu beanstanden. Der Beschwerdeführer hat im Einbürgerungsverfahren für die Beurteilung wesentliche Umstände verschwiegen und dadurch die erleichterte Einbürgerung im Sinne von Art. 41 Abs. 1 aBüG erschlichen. Damit sind auch die materiellen Voraussetzungen für die Nichtigerklärung der erleichterten Einbürgerung als erfüllt anzusehen.</w:t>
      </w:r>
    </w:p>
    <w:p>
      <w:r>
        <w:rPr>
          <w:b/>
        </w:rPr>
        <w:t>E. 10</w:t>
      </w:r>
    </w:p>
    <w:p>
      <w:r>
        <w:t>Die angefochtene Verfügung ist somit im Lichte von Art. 49 VwVG nicht zu beanstanden. Demzufolge ist die Beschwerde abzuweisen. Angesichts des fortgeschrittenen Verfahrensstands ist auf einen weiteren Schriftenwechsel zu verzichten.</w:t>
      </w:r>
    </w:p>
    <w:p>
      <w:r>
        <w:rPr>
          <w:b/>
        </w:rPr>
        <w:t>E. 11</w:t>
      </w:r>
    </w:p>
    <w:p>
      <w:r>
        <w:t>Bei diesem Ausgang des Verfahrens sind die Kosten dem Beschwerdeführer aufzuerlegen (vgl. Art. 63 Abs. 1 VwVG i.V.m. Art. 1 und Art. 3 des Reglements vom 21. Februar 2008 über die Kosten und Entschädigungen vor dem Bundesverwaltungsgericht [VGKE, SR 173.320.2]). Eine Parteientschädigung steht ihm aufgrund seines Unterliegens nicht zu.</w:t>
      </w:r>
    </w:p>
    <w:p>
      <w:r>
        <w:rPr>
          <w:b/>
        </w:rPr>
        <w:t>E. 12</w:t>
      </w:r>
    </w:p>
    <w:p>
      <w:r>
        <w:t>Da das vorliegende Verfahren nicht in den Ausnahmekatalog von Art. 83 lit. c BGG fällt, ist gegen den vorliegenden Entscheid die Beschwerde in öffentlich-rechtlichen Angelegenheiten gegeben.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