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F-5188/2017 vom 27. September 2019</w:t>
      </w:r>
    </w:p>
    <w:p>
      <w:r>
        <w:t>Bundesverwaltungsgericht, 2019-09-27, FR</w:t>
      </w:r>
    </w:p>
    <w:p>
      <w:r>
        <w:rPr>
          <w:b/>
        </w:rPr>
        <w:t xml:space="preserve">Quelle: </w:t>
      </w:r>
      <w:r>
        <w:t>https://mcp.opencaselaw.ch/entscheid/bvger_F-5188_2017</w:t>
      </w:r>
    </w:p>
    <w:p>
      <w:r>
        <w:t>FR: TAF F-5188/2017 du 27 septembre 2019</w:t>
      </w:r>
    </w:p>
    <w:p>
      <w:r>
        <w:t>IT: TAF F-5188/2017 del 27 settembre 2019</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en Suisse prononcées par le SEM (qui constitue une unité de l'administration fédérale au sens de l'art. 33 let. d LTAF) peuvent être contestées devant le Tribunal, qui statue définitivement (art. 1 al. 2 LTAF en relation avec l'art. 83 let. c ch.1 de la loi du 17 juin 2005 sur le Tribunal fédéral [LTF, RS 173.110]).</w:t>
      </w:r>
    </w:p>
    <w:p>
      <w:r>
        <w:rPr>
          <w:b/>
        </w:rPr>
        <w:t>E. 1.2</w:t>
      </w:r>
    </w:p>
    <w:p>
      <w:r>
        <w:t>A moins que la LTAF n'en dispose autrement, la procédure devant le Tribunal de céans est régie par la PA (cf. art. 37 LTAF).</w:t>
      </w:r>
    </w:p>
    <w:p>
      <w:r>
        <w:rPr>
          <w:b/>
        </w:rPr>
        <w:t>E. 1.3</w:t>
      </w:r>
    </w:p>
    <w:p>
      <w:r>
        <w:t>A._______ a qualité pour recourir (art. 48 al. 1 PA). Présenté dans la forme (art. 52 PA) et dans les délais prescrits par la loi (art. 50 PA), son recours est recevable.</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Il examine les décisions qui lui sont soumises avec un plein pouvoir d'examen en fait et en droit. Conformément à la maxime inquisitoire, le Tribunal constate les faits d'office (art. 12 PA) ; appliquant d'office le droit fédéral, il n'est pas lié par les motifs invoqués à l'appui du recours (art. 62 al. 4 PA), ni par l'argumentation développée dans la décision entreprise. Il peut donc s'écarter aussi bien des arguments des parties que des considérants juridiques de la décision querellée, fussent-ils incontestés (ATF 140 III 86 consid. 2 ; arrêt du Tribunal fédéral [ci-après : le TF] 1C_454/2017 du 16 mai 2018 consid. 4.1 et 4.2). Dans son arrêt, il prend en considération l'état de fait existant au moment où il statue (ATAF 2014/1 consid. 2).</w:t>
      </w:r>
    </w:p>
    <w:p>
      <w:r>
        <w:rPr>
          <w:b/>
        </w:rPr>
        <w:t>E. 3</w:t>
      </w:r>
    </w:p>
    <w:p>
      <w:r>
        <w:t>La décision querellée a été rendue en application de la loi sur les étrangers du 16 décembre 2005 dans ses versions en vigueur avant le 31 décembre 2018 (LEtr, RO 2007 5437 et les modifications subséquentes). Or, le 1er janvier 2019 sont entrées en vigueur les dernières dispositions de la modification partielle du 16 décembre 2016 de cette loi, laquelle a - par la même occasion - connu un changement de dénomination, en ce sens qu'elle s'intitule nouvellement loi fédérale sur les étrangers et l'intégration du 16 décembre 2005 (LEI, RS 142.20). Est également entrée en vigueur, le même jour, la modification partielle du 15 août 2018 de l'ordonnance relative à l'admission, au séjour et à l'exercice d'une activité lucrative du 24 octobre 2007 (OASA, RS 142.201). Les dispositions applicables à la présente cause n'ont pas subi de modifications propres à influer sur l'issue de celle-ci. En effet, le contenu de l'art. 67 al. 2 let. a et al. 3 LEtr (sur lequel se fonde la décision querellée) est strictement le même que celui de l'art. 67 al. 2 let. a et al. 3 LEI. Quant au contenu de l'ancien art. 80 al. 1 let. a et al. 2 OASA, en vigueur jusqu'au 31 décembre 2018, il a été repris, avec une modification de nature purement rédactionnelle sans portée matérielle, à l'art. 77a al. 1 let. a et al. 2 OASA dans sa version en vigueur depuis le 1er janvier 2019 (Rapport explicatif du 7 novembre 2017 concernant la modification de l'OASA, p. 17 ad art. 77a et p. 25 ad art. 80). A défaut d'intérêt public prépondérant susceptible de justifier une application immédiate des nouvelles dispositions, le Tribunal de céans, en l'absence de dispositions transitoires contenues dans la LEI et l'OASA sur ce point, doit ainsi appliquer le droit en vigueur au jour où l'autorité de première instance a statué (ATF 141 II 393 consid. 2.4, 139 II 470 consid. 4.2). Dans la présente affaire, il appliquera donc la loi sur les étrangers dans sa teneur en vigueur jusqu'au 31 décembre 2018, en utilisant l'ancienne dénomination (LEtr), et citera l'OASA selon sa teneur en vigueur jusqu'au 31 décembre 2018 (arrêts du TAF F-3231/2017 du 9 mai 2019 consid. 3.1 et F-5751/2017 du 27 mars 2019 consid. 2.3).</w:t>
      </w:r>
    </w:p>
    <w:p>
      <w:r>
        <w:rPr>
          <w:b/>
        </w:rPr>
        <w:t>E. 4.1</w:t>
      </w:r>
    </w:p>
    <w:p>
      <w:r>
        <w:t>Selon l'art. 67 al. 2 let. a LEtr, le SEM peut interdire l'entrée en Suisse à un étranger lorsque ce dernier a attenté à la sécurité et à l'ordre publics en Suisse ou à l'étranger ou les a mis en danger. En vertu de l'art. 67 al. 3 LEtr, l'interdiction d'entrée est prononcée pour une durée maximale de cinq ans (phrase 1), mais elle peut être prononcée pour une plus longue durée lorsque la personne concernée constitue une menace grave pour la sécurité et l'ordre publics (phrase 2). Cette durée ne saurait toutefois dépasser quinze ans ou, en cas de récidive, vingt ans (ATAF 2014/20 consid. 7).</w:t>
      </w:r>
    </w:p>
    <w:p>
      <w:r>
        <w:rPr>
          <w:b/>
        </w:rPr>
        <w:t>E. 4.2</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concernant la loi sur les étrangers [ci-après: Message LEtr] du 8 mars 2002, FF 2002 3469, spéc. p. 3564 ad art. 61 du projet). En vertu de l'art. 80 al. 1 let. a OASA, il y a notamment atteinte à la sécurité et à l'ordre publics en cas de violation de prescriptions légales ou de décisions d'autorités. Tel est le cas, en particulier, lorsqu'il y a eu violation importante ou répétée de prescriptions légales ou de décisions d'autorités (Message LEtr, p. 3564 ad art. 61 du projet, et p. 3568 ad art. 66 du projet).</w:t>
      </w:r>
    </w:p>
    <w:p>
      <w:r>
        <w:rPr>
          <w:b/>
        </w:rPr>
        <w:t>E. 4.3</w:t>
      </w:r>
    </w:p>
    <w:p>
      <w:r>
        <w:t>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de nouvelles atteintes à la sécurité et à l'ordre publics (ATAF 2017 VII/2 consid. 4.4 et 4.6, et 2008/24 consid. 4.2). Le prononcé d'une interdiction d'entrée implique par conséquent que l'autorité procède à un pronostic en se fondant sur l'ensemble des circonstances du cas concret et, donc aussi, sur le comportement que l'administré a adopté par le passé. La commission antérieure d'infractions constitue en effet un indice de poids permettant de penser qu'une nouvelle atteinte à la sécurité et à l'ordre publics sera commise à l'avenir (ibidem).</w:t>
      </w:r>
    </w:p>
    <w:p>
      <w:r>
        <w:rPr>
          <w:b/>
        </w:rPr>
        <w:t>E. 4.4</w:t>
      </w:r>
    </w:p>
    <w:p>
      <w:r>
        <w:t>L'autorité compétente examine selon sa libre appréciation si une interdiction d'entrée doit être prononcée. Elle doit donc procéder, ainsi que le commande l'art. 96 al. 1 LEtr, à une pondération de l'ensemble des intérêts (publics et privés) en présence et respecter le principe de proportionnalité (ATF 139 II 121 consid. 6.5.1 ; ATAF 2017 VII/2 consid. 4.5; Zünd/Arquint Hill, Beendigung der Anwesenheit, Entfernung und Fernhaltung, in: Uebersax/Rudin/Hugi Yar/Geiser [éd.], Ausländerrecht, Bâle 2009, p. 355 n. 8.80).</w:t>
      </w:r>
    </w:p>
    <w:p>
      <w:r>
        <w:rPr>
          <w:b/>
        </w:rPr>
        <w:t>E. 5</w:t>
      </w:r>
    </w:p>
    <w:p>
      <w:r>
        <w:t>Au demeurant, on relèvera que l'intéressé, lequel allègue avoir épousé une citoyenne italienne, ne peut pas se prévaloir de l'Accord du 21 juin 1999 entre la Confédération suisse, d'une part, et la Communauté européenne et ses Etats membres, d'autre part, sur la libre circulation des personnes (ALCP, RS 0.142.112.681), ce qu'il ne fait par ailleurs pas. En effet, l'admission d'un droit dérivé à la libre circulation suppose que la personne qui dispose du droit originaire ait elle-même déjà fait usage des libertés garanties par l'ALCP (ATF 136 II 241 consid. 11.3 et arrêts du TAF F-1385/2017 du 12 juillet 2019 consid. 5 et 10.2 et F-7716/2015 du 22 mai 2017 consid. 4). Or, en l'espèce, il ne ressort aucunement du dossier que l'épouse du recourant a utilisé son droit propre à la libre circulation.</w:t>
      </w:r>
    </w:p>
    <w:p>
      <w:r>
        <w:rPr>
          <w:b/>
        </w:rPr>
        <w:t>E. 6</w:t>
      </w:r>
    </w:p>
    <w:p>
      <w:r>
        <w:t>L'autorité inférieure a prononcé, le 18 juillet 2017, une décision d'interdiction d'entrée en Suisse d'une durée de douze ans à l'encontre du recourant. Elle a considéré qu'une telle mesure d'éloignement s'imposait en raison de la gravité des infractions commises par l'intéressé en Suisse et de la mise en danger de la sécurité et de l'ordre publics qui en découlait. A la lecture des conclusions formulées par l'intéressé dans son mémoire de recours, il apparaît qu'il ne conteste pas que son comportement ait appelé l'autorité intimée à prononcer une mesure d'éloignement à son égard. Etant donné que cette question n'est donc pas litigieuse, le Tribunal constate, sans motivation supplémentaire, qu'en l'espèce, le prononcé d'une interdiction d'entrée à l'endroit de A._______ était pleinement justifié dans son principe.</w:t>
      </w:r>
    </w:p>
    <w:p>
      <w:r>
        <w:rPr>
          <w:b/>
        </w:rPr>
        <w:t>E. 7</w:t>
      </w:r>
    </w:p>
    <w:p>
      <w:r>
        <w:t>Il convient encore de déterminer si la menace que représente le recourant pour la sécurité et l'ordre publics en Suisse doit être qualifiée de grave et est ainsi susceptible de justifier le prononcé d'une mesure d'éloignement allant au-delà de la durée maximale de cinq ans prévue à l'art. 67 al. 3 phr. 1 LEtr.</w:t>
      </w:r>
    </w:p>
    <w:p>
      <w:r>
        <w:rPr>
          <w:b/>
        </w:rPr>
        <w:t>E. 7.1</w:t>
      </w:r>
    </w:p>
    <w:p>
      <w:r>
        <w:t>La notion de menace grave de l'art. 67 al. 3 LEtr présuppose l'existence d'une menace caractérisée pour l'ordre et la sécurité publics. Ce degré de gravité particulier, dont il est prévu que l'application demeurera exceptionnelle, doit s'examiner au cas par cas, en tenant compte des éléments pertinents du dossier (arrêts du TAF F-3243/2016 du 8 mars 2018 consid. 6 ;F-3676/2016 du 3 juillet 2018 consid. 5 ; F-1279/2017 du 6 juillet 2018consid. 7 ; F-7605/2016 du 26 octobre 2018 consid. 4). Il peut en particulier dériver de la nature du bien juridique menacé (par exemple : atteinte grave à la vie, l'intégrité corporelle ou sexuelle ou à la santé de personnes), de l'appartenance d'une infraction à un domaine de la criminalité particulièrement grave revêtant une dimension transfrontalière (ce qui est notamment le cas des actes de terrorisme, de la traite d'êtres humains, du trafic de drogues et de la criminalité organisée), de la multiplication d'infractions (récidives), en tenant compte de l'éventuel accroissement de leur gravité, ou encore de l'absence de pronostic favorable (ATF 139 II 121 consid. 6.2 et 6.3). Les infractions commises doivent donc avoir le potentiel - isolément ou en raison de leur répétition - de générer une menace actuelle et grave pour la sécurité et l'ordre publics (ATAF 2014/20 consid. 5.2, 2013/4consid. 7.2.4)</w:t>
      </w:r>
    </w:p>
    <w:p>
      <w:r>
        <w:rPr>
          <w:b/>
        </w:rPr>
        <w:t>E. 7.2</w:t>
      </w:r>
    </w:p>
    <w:p>
      <w:r>
        <w:t>En l'occurrence, il ressort du jugement du Tribunal d'arrondissement de Lausanne du 29 novembre 2016 que A._______ avait acquis, vendu et prévu de vendre 530 grammes de cocaïne, soit l'équivalent de 186.55 grammes de cocaïne pure. Il a également acquis 100 grammes d'héroïne, correspondant à 13.8 grammes d'héroïne pure, dans le but de les vendre. Il s'agit là, sans conteste, d'une quantité importante qui témoigne d'une gravité certaine. Dans la mesure où l'activité délictuelle du recourant portait sur des quantités non négligeables de cocaïne et d'héroïne destinées à la vente, elle constitue une menace sérieuse d'un bien juridique particulièrement important, à savoir la santé publique. Or, selon la jurisprudence constante du Tribunal fédéral, la protection de la collectivité face au développement du trafic de stupéfiants répond à un intérêt public majeur justifiant l'éloignement de Suisse des personnes mêlées de près ou de loin à ce commerce. Les autorités helvétiques, à l'instar des instances européennes, se montrent très rigoureuses à cet égard (ATF 139 II 121 consid. 5.3 et 129 II 215 consid. 7.3). Contrairement à ce que l'intéressé souligne dans son mémoire de recours, le fait qu'il n'ait pas pu vendre l'entier des stupéfiants qu'il possédait avant que son activité ne soit interrompue par les forces de l'ordre ou qu'aucune circonstance aggravante n'ait été retenue contre lui par les autorités pénales, n'est pas de nature à diminuer la gravité de la menace que son activité délictuelle représente pour l'ordre et la sécurité publics. Tout au plus, peut-on retenir que, le cas échéant, la gravité de la menace eût été plus importante encore. Dans son recours, A._______ souligne de plus qu'il a collaboré avec les autorités dès sa première audition. Si ce fait ne saurait en soi diminuer la gravité des actes commis, il pourrait toutefois être pris compte dans le cadre d'une évaluation globale. Or, il ressort du rapport d'investigation de la Police cantonale vaudoise du 18 juillet 2016 qu'il a été impossible d'obtenir des explications précises et cohérentes de l'intéressé sur toute autre transaction que le flagrant délit de son interpellation, qu'il s'est montré silencieux à chaque fois qu'il s'agissait d'effectuer des mises en cause permettant de comprendre l'articulation du réseau et d'identifier ses autres membres et que des implications claniques et familiales extrêmement fortes avaient rendu caduques toutes les tentatives d'obtenir des aveux circonstanciés et détaillés. Le Tribunal ne saurait donc retenir que le recourant ait collaboré avec les autorités dès sa première audition ainsi qu'il le prétend. Plusieurs éléments plaidant en défaveur du recourant et renforçant l'image d'un délinquant organisé et déterminé s'ajoutent encore à ce tableau. Le Tribunal relève notamment à cet égard que l'enquête policière a mis en évidence que A._______ appartenait à un groupe criminel structuré et familial avec une portée internationale et qu'il possédait des armes interdites, dont un revolver, et des munitions. Enfin, compte tenu de la dimension familiale du réseau dans le cadre duquel le recourant a agi et de la dynamique sous l'angle des activités criminelles que cela implique, le Tribunal ne saurait retenir un pronostic favorable sur le comportement futur de l'intéressé. Dans ces conditions, il s'impose de conclure qu'au vu de l'activité délictuelle qu'il a déployée en Suisse, de la gravité des infractions commises, de l'importance des biens juridiques menacés, le recourant constitue une menace caractérisée pour la sécurité et l'ordre publics, de sorte que la limite de la durée maximale prévue à l'art. 67 al. 3 phr. 2 LEtr peut être franchie. Le prononcé à son endroit d'une mesure d'éloignement d'une durée supérieure à cinq ans est dès lors justifié.</w:t>
      </w:r>
    </w:p>
    <w:p>
      <w:r>
        <w:rPr>
          <w:b/>
        </w:rPr>
        <w:t>E. 8</w:t>
      </w:r>
    </w:p>
    <w:p>
      <w:r>
        <w:t>Il y a encore lieu d'examiner si cette mesure d'éloignement, fixée à douze ans par l'autorité de première instance, satisfait en particulier aux exigences constitutionnelles de proportionnalité (art. 5 al. 2 de la Constitution fédérale de la Confédération suisse du 18 avril 1999 [Cst., RS 101]) et d'égalité de traitement (art. 8 al. 1 Cst.).</w:t>
      </w:r>
    </w:p>
    <w:p>
      <w:r>
        <w:rPr>
          <w:b/>
        </w:rPr>
        <w:t>E. 8.1</w:t>
      </w:r>
    </w:p>
    <w:p>
      <w:r>
        <w:t>De jurisprudence établie (ATF 139 II 121 consid. 6.5.1 et 130 II 176 consid. 3.4.2), toute mesure d'éloignement doit respecter le principe de la proportionnalité, qui s'impose tant en droit interne (art. 5 al. 2 Cst. et 96 LEtr) qu'au regard de l'art. 8 par. 2 de la Convention du 4 novembre 1950 de sauvegarde des droits de l'homme et des libertés fondamentales (CEDH, RS 0.101). La mesure d'éloignement prononcée doit être apte à produire les résultats escomptés (règle de l'aptitude), que ceux-ci ne puissent pas être atteints par une mesure moins incisive (règle de la nécessité) et qu'il existe un rapport raisonnable entre le but d'intérêt public recherché par cette mesure et les intérêts privés en cause, en particulier la restriction à la liberté personnelle qu'elle établit (ATF 136 IV 97 consid. 5.2.2, 135 I 176 consid. 8.1 et 133 I 110 consid. 7.1 ; ATAF 2011/60 consid. 5.3.1). Conformément aux dispositions précitées, la pesée des intérêts publics et privés qui s'effectue dans le cas d'espèce doit faire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 et 135 II 377 consid. 4.3). L'examen sous l'angle de l'art. 8 par. 2 CEDH se confond avec celui imposé par l'art. 96 LEtr (arrêts du TF 2C_53/2015 du 31 mars 2015 consid. 5.3 et 2C_139/2014 du 4 juillet 2014 consid. 5).</w:t>
      </w:r>
    </w:p>
    <w:p>
      <w:r>
        <w:rPr>
          <w:b/>
        </w:rPr>
        <w:t>E. 8.2</w:t>
      </w:r>
    </w:p>
    <w:p>
      <w:r>
        <w:t>En l'occurrence, concernant les règles de l'aptitude et de la nécessité, il est indéniable, particulièrement en l'absence d'un pronostic favorable, que l'éloignement du territoire suisse du recourant est apte et nécessaire pour atteindre les buts visés, à savoir protéger l'ordre et la sécurité publics (arrêts du TAF F-6546/2017 du 10 août 2018 consid. 7.2 et C-3643/2015 du 29 avril 2016 consid. 8.2.1).</w:t>
      </w:r>
    </w:p>
    <w:p>
      <w:r>
        <w:rPr>
          <w:b/>
        </w:rPr>
        <w:t>E. 8.3</w:t>
      </w:r>
    </w:p>
    <w:p>
      <w:r>
        <w:t>S'agissant de l'intérêt privé du recourant à pouvoir revenir ou résider librement en Suisse, l'impossibilité ne résulte pas premièrement de la mesure d'éloignement litigieuse, mais découle du fait qu'il n'a pas de titre de séjour. Cela étant, en invoquant ainsi la présence de sa famille en Suisse, le recourant s'est implicitement prévalu de l'art. 8 par. 1 CEDH protégeant la vie privée et familiale. Pour que l'étranger puisse se réclamer de la protection de sa vie familiale, il doit entretenir une relation étroite, effective et intacte avec une personne de sa famille disposant d'un droit de présence durable en Suisse (ATF 139 I 330 consid. 2.1 ; 137 I 284 consid. 1.3 ;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(ATF 140 I 77 consid. 5.2 ; 137 I 113 consid. 6.1 ; 135 I 143 consid. 1.3.2). L'art. 13 al. 1 Cst. garantit la même protection (ATF 138 I 331 consid. 8.3.2). Cela étant, l'intéressé est majeur et n'a pas démontré, ni allégué, un quelconque lien de dépendance avec un membre de sa famille vivant en Suisse permettant l'application de l'art. 8 CEDH sous l'angle de la protection de la vie familiale (ATF 129 II 11 consid. 2, arrêt du TF 2C_969/2017 du 2 juillet 2018 consid. 1.1.2). De plus, ses liens familiaux les plus étroits au sens de l'art. 8 par. 1 CEDH, soit ceux qui le lient à son épouse, n'ont aucun rapport avec la Suisse. Enfin, les liens avec les membres de sa famille vivant en Suisse peuvent aisément être préservés par les moyens de communication modernes, voire par des voyages de ses proches.</w:t>
      </w:r>
    </w:p>
    <w:p>
      <w:r>
        <w:rPr>
          <w:b/>
        </w:rPr>
        <w:t>E. 8.4</w:t>
      </w:r>
    </w:p>
    <w:p>
      <w:r>
        <w:t>Les intérêts privés du recourant doivent en outre être mis en balance avec l'intérêt public à le maintenir éloigné de Suisse au vu de la gravité des infractions commises (arrêt du TF 2C_319/2015 du 10 septembre 2015 consid. 6.2). Or, force est de constater que l'interdiction d'entrée prononcée à l'endroit du recourant est une mesure administrative de contrôle qui tend à le tenir éloigné de la Suisse. Il en va de l'intérêt étatique au respect de l'ordre établi et de la législation en vigueur (arrêt du TAF F-3614/2016 du 16 avril 2018 consid. 8.6). Compte tenu de la gravité des infractions commises, l'intérêt public à l'éloigner durablement de Suisse apparaît prépondérant, et cela d'autant plus qu'on ne saurait émettre un pronostic favorable.</w:t>
      </w:r>
    </w:p>
    <w:p>
      <w:r>
        <w:rPr>
          <w:b/>
        </w:rPr>
        <w:t>E. 8.5</w:t>
      </w:r>
    </w:p>
    <w:p>
      <w:r>
        <w:t>Tout compte fait, au vu de l'ensemble des éléments objectifs et subjectifs de la cause, le Tribunal de céans considère que l'interdiction d'entrée prononcée par le SEM - quand bien même elle est parfaitement justifiée dans son principe et sa durée supérieure à cinq ans - n'est, du point de vue de sa durée globale, pas compatible avec la jurisprudence en la matière, au regard de la nature des délits commis, de la lourdeur des condamnations pénales prononcées (une seule condamnation) et des circonstances personnelles ayant justifié le prononcé d'autres interdictions d'entrée d'une durée de douze ans (arrêts du TAF F-6954/2016 du 16 mars 2018, F-2684/2016 du 5 mars 2018, F-7593/2015 du 24 novembre 2017 et F-6814/2015 du 15 juillet 2016). Compte tenu de la jurisprudence susnommée, le respect des principes de la proportionnalité et de l'égalité de traitement impose une réduction de la durée de la mesure litigieuse à dix ans, à compter de son prononcé.</w:t>
      </w:r>
    </w:p>
    <w:p>
      <w:r>
        <w:rPr>
          <w:b/>
        </w:rPr>
        <w:t>E. 9</w:t>
      </w:r>
    </w:p>
    <w:p>
      <w:r>
        <w:t>Le SEM a par ailleurs ordonné l'inscription de l'interdiction d'entrée dans le SIS, ce que le recourant contetse.</w:t>
      </w:r>
    </w:p>
    <w:p>
      <w:r>
        <w:rPr>
          <w:b/>
        </w:rPr>
        <w:t>E. 9.1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(art. 3 let. d du règlement [CE] n°1987/2006 du Parlement européen et du Conseil du20 décembre 2006 sur l'établissement, le fonctionnement et l'utilisation du système d'information Schengen de deuxième génération [SIS II,JO L 381/4 du 28 décembre 2006], en vigueur depuis le 9 avril 2013[JO L 87/10 du 27 mars 2013]), cette personne est inscrite aux fins de non-admission dans le SIS si le cas est suffisamment important pour justifier l'introduction du signalement dans ce système (art. 21 et 24 SIS II, qui ont remplacé les anciens art. 9 par. 1 et 96 de la Convention d'application de l'accord de Schengen [CAAS, JO L 239 du 22 septembre 2000], ainsi qu'il ressort de l'art. 52 par. 1 SIS II; cf. également l'art. 16 al. 2 let. b et al. 4 let. g LSIP [RS 361], en relation avec l'art. 6 let. a de l'ordonnanceN-SIS [RS 362.0]). Le signalement dans le SIS a pour conséquence que la personne concernée se verra refuser l'entrée dans l'Espace Schengen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2016p. 1]). Demeure réservée la compétence des Etats membres d'autoriser cette personne à entrer sur leur territoire (respectivement à lui délivrer un titre de séjour) pour des motifs sérieux, d'ordre humanitaire, d'intérêt national ou résultant d'obligations internationales (art. 25 par. 1 CAAS, qui demeure applicable en vertu de l'art. 52 par. 1 SIS II a contrario; cf. aussil'art.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9.2</w:t>
      </w:r>
    </w:p>
    <w:p>
      <w:r>
        <w:t>En l'occurrence, ce signalement est entièrement justifié au vu des circonstances et satisfait au principe de proportionnalité dans le cas d'espèce (art. 21 en relation avec l'art. 24 al. 2 du règlement SIS II). Il l'est d'autant plus que la Suisse, dans le champ d'application des règles de Schengen, se doit de préserver les intérêts de tous les Etats parties aux accords d'association à Schengen (ATAF 2011/48 consid. 6.1). Cet état de fait n'empêche cependant pas les Etats membres d'autoriser l'entrée de l'intéressé sur leur territoire national, pour des motifs sérieux, voire de lui délivrer un visa à validité territoriale limitée.</w:t>
      </w:r>
    </w:p>
    <w:p>
      <w:r>
        <w:rPr>
          <w:b/>
        </w:rPr>
        <w:t>E. 10</w:t>
      </w:r>
    </w:p>
    <w:p>
      <w:r>
        <w:t>Le recours est en conséquence partiellement admis et la décision entreprise est réformée, en ce sens que les effets de l'interdiction d'entrée en Suisse sont limités au 17 juillet 2027.</w:t>
      </w:r>
    </w:p>
    <w:p>
      <w:r>
        <w:rPr>
          <w:b/>
        </w:rPr>
        <w:t>E. 10.1</w:t>
      </w:r>
    </w:p>
    <w:p>
      <w:r>
        <w:t>Dans la mesure où le recourant n'obtient que très partiellement gain de cause, il y a lieu de mettre des frais réduits de procédure à sa charge (art. 63 al. 1 2ème phrase PA en relation avec les art. 1 à 3 du règlement du 21 février 2008 concernant les frais, dépens et indemnités fixés par le Tribunal administratif fédéral [FITAF, RS 172.320.2]).</w:t>
      </w:r>
    </w:p>
    <w:p>
      <w:r>
        <w:rPr>
          <w:b/>
        </w:rPr>
        <w:t>E. 10.2</w:t>
      </w:r>
    </w:p>
    <w:p>
      <w:r>
        <w:t>Obtenant partiellement gain de cause, le recourant a par ailleurs droit à des dépens réduits pour les frais nécessaires et relativement élevés causés par le litige (art. 64 al. 1 PA en relation avec l'art. 7 FITAF). Au vu de l'ensemble des circonstances du cas, de l'importance de l'affaire, du degré de difficulté de cette dernière et de l'ampleur du travail accompli par le conseil du recourant, le Tribunal estime, considérant les art. 8 ss FITAF, que le versement d'un montant de 300 francs à titre de dépens réduits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