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F-5184/2020 vom 20. Dezember 2021</w:t>
      </w:r>
    </w:p>
    <w:p>
      <w:r>
        <w:t>Bundesverwaltungsgericht, 2021-12-20, DE</w:t>
      </w:r>
    </w:p>
    <w:p>
      <w:r>
        <w:rPr>
          <w:b/>
        </w:rPr>
        <w:t xml:space="preserve">Quelle: </w:t>
      </w:r>
      <w:r>
        <w:t>https://mcp.opencaselaw.ch/entscheid/bvger_F-5184_2020</w:t>
      </w:r>
    </w:p>
    <w:p>
      <w:r>
        <w:t>FR: TAF F-5184/2020 du 20 décembre 2021</w:t>
      </w:r>
    </w:p>
    <w:p>
      <w:r>
        <w:t>IT: TAF F-5184/2020 del 20 dicembre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w:t>
      </w:r>
    </w:p>
    <w:p>
      <w:r>
        <w:t>Der Beschwerdeführer verfügt neben der nigerianischen auch über die italienische Staatsbürgerschaft. Als italienischer Staatsbürger ist er Angehöriger eines Vertragsstaates des Freizügigkeitsabkommens (nachfolgend auch: Vertragsausländer). Gemäss Art. 2 Abs. 2 AIG gelangt daher das nationale Ausländerrecht, bestehend aus dem AIG und seinen Ausführungsverordnungen, nur soweit zur Anwendung, als das Freizügigkeitsabkommen keine abweichenden Bestimmungen enthält oder die Bestimmungen des nationalen Ausländerrechts günstiger sind.</w:t>
      </w:r>
    </w:p>
    <w:p>
      <w:r>
        <w:rPr>
          <w:b/>
        </w:rPr>
        <w:t>E. 4.1</w:t>
      </w:r>
    </w:p>
    <w:p>
      <w:r>
        <w:t>Landesrechtliche Grundlage der angefochtenen Verfügung bildet Art. 67 AIG. Nach Art. 67 Abs. 1 Bst. b AIG wird gegen weggewiesene Ausländerinnen und Ausländer ein Einreiseverbot verhängt, wenn diese nicht innerhalb der angesetzten Ausreisefrist ausgereist sind. Gemäss Art. 67 Abs. 2 Bst. a AIG kann gegen Ausländerinnen und Ausländer, die gegen die öffentliche Sicherheit und Ordnung in der Schweiz oder im Ausland verstossen haben oder diese gefährden, ein Einreiseverbot verfügt werden. Gestützt auf Art. 67 Abs. 2 Bst. b AIG kann ferner ein Einreiseverbot erlassen werden, wenn die betroffene Person Sozialhilfekosten verursacht hat. Das Einreiseverbot wird für eine Dauer von höchstens fünf Jahren verhängt. Die Anordnung eines Einreiseverbots von mehr als fünf Jahren Dauer ist zulässig, wenn von der betroffenen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endgültig oder vorübergehend aufheben (Art. 67 Abs. 5 AIG).</w:t>
      </w:r>
    </w:p>
    <w:p>
      <w:r>
        <w:rPr>
          <w:b/>
        </w:rPr>
        <w:t>E. 4.2</w:t>
      </w:r>
    </w:p>
    <w:p>
      <w:r>
        <w:t>Das Einreiseverbot dient als präventivpolizeiliche Massnahme der Abwendung künftiger Störungen der öffentlichen Sicherheit und Ordnung durch ausländische Personen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naturgemäss auf das bisherige Verhalten des Betroffenen abstützen muss.</w:t>
      </w:r>
    </w:p>
    <w:p>
      <w:r>
        <w:rPr>
          <w:b/>
        </w:rPr>
        <w:t>E. 4.3</w:t>
      </w:r>
    </w:p>
    <w:p>
      <w:r>
        <w:t>Die öffentliche Sicherheit und Ordnung im Sinne von Art. 67 Abs. 2 Bst. a AIG bildet dabei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Die Annahme einer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5.1</w:t>
      </w:r>
    </w:p>
    <w:p>
      <w:r>
        <w:t>Das Freizügigkeitsabkommen vermittelt den Angehörigen seiner Vertragsstaaten gegen Vorlage eines gültigen Personalausweises oder Reisepasses ein von keinen weiteren Tatbestandsvoraussetzungen abhängiges Recht auf Einreise und erwerbslosen Aufenthalt von bis zu drei Monaten Dauer (Art. 3 FZA i.V.m. Art. 1 Abs. 1 Anhang I FZA; BGE 143 IV 97 E. 1). Das Einreiseverbot nach Art. 67 AIG stellt eine Massnahme dar, die dieses Recht einschränkt. Solche Massnahmen sind gemäss Art. 5 Abs. 1 Anhang I FZA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5.3</w:t>
      </w:r>
    </w:p>
    <w:p>
      <w:r>
        <w:t>Innerhalb der vom Gemeinschaftsrecht gezogenen Grenzen sind die Vertragsstaaten grundsätzlich frei festzulegen, welche Verhaltensweisen sie als Störung ihrer Grundinteressen betrachten. Eine solche gemeinschaftsrechtliche Schranke erblickt der Gerichtshof im primärrechtlichen Verbot der Diskriminierung aufgrund der Staatsangehörigkeit (heute: Art. 18 des Vertrags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 Mai 1989, Kommission/Deutschland, 249/86, EU:C:1989:204, Rn. 19, und vom 18. Mai 1982, Adoui und Cornuaille, 115/81 und 116/81, EU:C:1982:183, Rn. 8). Ansonsten kann auch einfacher Konsum von Betäubungsmitteln eine Gefährdung darstellen, die besondere Massnahmen zum Schutz der öffentlichen Sicherheit und Ordnung gegen Angehörige anderer Mitgliedstaaten rechtfertigen kann (Urteil des EuGH vom 19. Januar 1999, Calfa, C-348/96, EU:C:1999:6, Rn. 22).</w:t>
      </w:r>
    </w:p>
    <w:p>
      <w:r>
        <w:rPr>
          <w:b/>
        </w:rPr>
        <w:t>E. 6.1</w:t>
      </w:r>
    </w:p>
    <w:p>
      <w:r>
        <w:t>Die Vorinstanz begründet das angefochtene Einreiseverbot mit der Straffälligkeit des Beschwerdeführers und seiner jahrelangen Täuschung der Behörden durch Verschweigen der während der Ehe mit einer schweizerisch-italienischen Doppelbürgerin in Nigeria geführten Parallelbeziehung mit einer nigerianischen Staatsangehörigen. Ferner wirft sie dem Beschwerdeführer vor, dass er in erheblichem Mass von der Sozialhilfe unterstützt werden musste und die Ausreisefrist missachtet hat, die ihm nach rechtskräftigem Verlust seiner Niederlassungsbewilligung und der Wegweisung aus der Schweiz gesetzt wurde. Damit hat der Beschwerdeführer nach Auffassung der Vorinstanz die Fernhaltegründe des Art. 67 Abs. 2 Bst. a AIG (Gefährdung der öffentlichen Sicherheit und Ordnung), des Art. 67 Abs. 2 Bst. b AIG (Verursachung von Sozialhilfekosten) und des Art. 67 Abs. 1 Bst. b AIG (Missachtung der Ausreisefrist) gesetzt. Zudem beinhalte sein Verhalten eine gegenwärtige, tatsächliche und hinreichend schwere Gefährdung der Grundinteressen der Gesellschaft im Sinne von Art. 5 Anhang I FZA, die eine Fernhaltemassnahme gegen ihn rechtfertige.</w:t>
      </w:r>
    </w:p>
    <w:p>
      <w:r>
        <w:rPr>
          <w:b/>
        </w:rPr>
        <w:t>E. 6.2</w:t>
      </w:r>
    </w:p>
    <w:p>
      <w:r>
        <w:t>Dagegen wird vorgebracht, der Beschwerdeführer sei als italienischer Staatsbürger aus dem Freizügigkeitsabkommen berechtigt. Daher könne gegen ihn ein Einreiseverbot nur bei sehr schweren Verstössen strafrechtlicher Art ausgesprochen werden. Es sei wohl zutreffend, dass er geringfügig bestraft worden sei, doch könne damit nicht «im Ernst» ein Einreiseverbot gegen einen EU-Bürger gerechtfertigt werden. Auch begründe die Vorinstanz nicht, warum eine Parallelbeziehung eine besonders schwere Straftat sein solle. Von einer Täuschung der Behörden könne ohnehin keine Rede sein. Im Übrigen habe er als italienischer Staatsbürger ein generelles Aufenthaltsrecht ausserhalb eines Familiennachzugs. Die Vorinstanz bleibe auch die Antwort schuldig, was der Sozialhilfebezug mit einem Einreiseverbot zu tun habe. Der Bezug von Sozialhilfe könne zum Entzug der Aufenthaltsbewilligung führen. Mit einer schweren Verletzung der öffentlichen Sicherheit und Ordnung habe dies aber offensichtlich nichts zu tun. Das von der Vorinstanz erwähnte Grundinteresse der Gemeinschaft sei ebenso wie die "schwere Gefährdung der öffentlichen Ordnung" in jeder Hinsicht verfehlt. Die öffentliche Ordnung werde bei objektiver Betrachtungsweise durch den Beschwerdeführer in keiner Art und Weise gefährdet. Es handle sich um einen harmlosen italienischen Staatsbürger, der Sozialhilfe bezogen habe und geringfügig bestraft worden sei. Die Vorinstanz habe offensichtlich jedes Augenmass verloren.</w:t>
      </w:r>
    </w:p>
    <w:p>
      <w:r>
        <w:rPr>
          <w:b/>
        </w:rPr>
        <w:t>E. 7</w:t>
      </w:r>
    </w:p>
    <w:p>
      <w:r>
        <w:t>Es steht ohne Zweifel fest, dass in der vorliegenden Streitsache die landesrechtlichen Eingriffsvoraussetzungen des Art. 67 AIG in mehrfacher Hinsicht erfüllt sind. Der Beschwerdeführer hat den Fernhaltegrund des Art. 67 Abs. 1 Bst. b AIG gesetzt, weil er - nach dem Widerruf seiner Niederlassungsbewilligung und Wegweisung aus der Schweiz - innerhalb der ihm gesetzten Fristen nicht ausgereist ist. Als weiterer Fernhaltegrund treten diverse Verstösse gegen die öffentliche Sicherheit und Ordnung im Sinne von Art. 67 Abs.2 Bst. b AIG hinzu: Der Beschwerdeführer hat gegenüber der kantonalen Bewilligungsbehörde seine Parallelbeziehung verschwiegen und sie - zumindest durch Unterlassung - getäuscht, ist wiederholt straffällig geworden und hat sich nach Ablauf der ersten Ausreisefrist rechtswidrig in der Schweiz aufgehalten und wiederholt behördliche Verfügungen missachtet. Als letzter Fernhaltegrund gelangt Art. 67 Abs. 2 Bst. b AIG zur Anwendung, denn der Beschwerdeführer hat erhebliche Sozialhilfekosten verursacht.</w:t>
      </w:r>
    </w:p>
    <w:p>
      <w:r>
        <w:rPr>
          <w:b/>
        </w:rPr>
        <w:t>E. 8</w:t>
      </w:r>
    </w:p>
    <w:p>
      <w:r>
        <w:t>Zu prüfen bleibt, ob die Tatbestandsvoraussetzungen eines Einreiseverbots auch nach Massgabe des Freizügigkeitsabkommens erfüllt sind.</w:t>
      </w:r>
    </w:p>
    <w:p>
      <w:r>
        <w:rPr>
          <w:b/>
        </w:rPr>
        <w:t>E. 8.1</w:t>
      </w:r>
    </w:p>
    <w:p>
      <w:r>
        <w:t>In diesem Zusammenhang gilt es vorweg festzuhalten, dass das Recht auf Einreise und erwerbslosen Aufenthalt von bis zu drei Monaten Dauer, das jedem Vertragsausländer zusteht (vgl. oben E. 5.1), nicht von ausreichenden finanziellen Mitteln abhängt (BGE 143 IV 97 E. 1.5; Weisungen und Erläuterungen des SEM zur Verordnung über den freien Personenverkehr [Weisungen VFP], Stand Januar 2021, Ziff. 2.2.1) und dass Massnahmen der öffentlichen Sicherheit und Ordnung nicht für wirtschaftliche Zwecke geltend gemacht werden können (Art. 5 Abs. 2 Anhang I zum FZA in Verbindung mit Art. 2 Abs. 2 der Richtlinie 64/221/EWG). Die Gefahr des Sozialhilfebezugs fällt daher nicht in den Anwendungsbereich des Ordre-public-Vorbehalts des Art. 5 Abs. 1 Anhang I FZA und ist infolgedessen nicht geeignet, gegenüber freizügigkeitsberechtigten Personen ein Einreiseverbot zu rechtfertigen (vgl. Urteile des BVGer F-1148/2017 vom 7. Juli 2017; F-7007/2017 vom 13. September 2018; je m.H.; zustimmend Epiney / Nüesch, Zur schweizerischen Rechtsprechung zum Personenfreizügigkeitsabkommen, in: Alberto Achermann et al. [Hrsg.], Jahrbuch für Migrationsrecht 2017/2018, S. 312 bei N. 220; vgl. auch Marcel Dietrich, Die Freizügigkeit der Arbeitnehmer in der Europäischen Union, 1995, S. 502; Walter Frenz, Handbuch Europarecht, Band 1: Europäische Grundfreiheiten, 2. Aufl. 2012, Rz. 2039). Daraus ergibt sich, dass freizügigkeitsberechtigten Personen der Fernhaltegrund des Art. 67 Abs. 2 Bst. b AIG nicht entgegengehalten werden kann. Soweit die Vorinstanz ihre Massnahme auf diesen Fernhaltegrund bzw. die Gefahr weiterer Sozialhilfekoksten stützt, kann ihr daher nicht gefolgt werden.</w:t>
      </w:r>
    </w:p>
    <w:p>
      <w:r>
        <w:rPr>
          <w:b/>
        </w:rPr>
        <w:t>E. 8.2</w:t>
      </w:r>
    </w:p>
    <w:p>
      <w:r>
        <w:t>Des Weiteren ist festzuhalten, dass Art. 67 Abs. 1 Bst. b AIG, der unmittelbar an die Missachtung der Ausreisefrist durch eine weggewiesene ausländische Person anknüpft und hierfür als Regelrechtsfolge ein Einreiseverbot vorsieht, gegenüber freizügigkeitsberechtigten Personen von vornherein nicht als eigenständiger Fernhaltegrund zur Anwendung gelangen kann. Denn die Missachtung einer Ausreisefrist ist nicht gleichbedeutend mit einer tatsächlichen, gegenwärtigen und hinreichenden Gefährdung, die ein Grundinteresse der Gesellschaft berührt, wie es Art. 5 Abs. 1 Anhang I FZA für freizügigkeitsrechtsbeschränkende Massnahmen verlangt. Die Missachtung einer Ausreisefrist stellt lediglich ein Element neben anderen dar, die insoweit von Bedeutung sind, als sie ein persönliches Verhalten der betroffenen Personen erkennen lassen, das eine solche Gefährdung darstellt. Darauf ist weiter unten einzugehen.</w:t>
      </w:r>
    </w:p>
    <w:p>
      <w:r>
        <w:rPr>
          <w:b/>
        </w:rPr>
        <w:t>E. 8.3</w:t>
      </w:r>
    </w:p>
    <w:p>
      <w:r>
        <w:t>Unter dem Gesichtspunkt des Ordre-public-Vorbehalts fallen folgende Verhaltensweisen des Beschwerdeführers ins Gewicht:</w:t>
      </w:r>
    </w:p>
    <w:p>
      <w:r>
        <w:rPr>
          <w:b/>
        </w:rPr>
        <w:t>E. 8.3.1</w:t>
      </w:r>
    </w:p>
    <w:p>
      <w:r>
        <w:t>Das Bundesverwaltungsgericht hegt keine Zweifel daran, dass der Beschwerdeführer die Aufenthalts- und später die Niederlassungsbewilligung im Kanton Basel-Stadt erschlich, indem er gegenüber der kantonalen Bewilligungsbehörde pflichtwidrig seine Parallelbeziehung zu einer nigerianischen Staatsangehörigen verschwieg, mit der er während seiner Ehe mit einer schweizerisch-italienischen Doppelbürgerin, der er den Aufenthalt in der Schweiz verdankte, insgesamt vier Kinder zeugte. Die Annahme liegt nahe, dass er im Sommer 2013 das italienische Staatbürgerrecht nicht erhalten hätte, hätten die italienischen Behörden von seiner Parallelbeziehung Kenntnis gehabt. Wohl hat der Beschwerdeführer im Sommer 2013 das italienische Staatsbürgerrecht erworben, wodurch er Begünstigter des Freizügigkeitsabkommens wurde, auch wenn davon ausgegangen werden kann, dass das nicht geschehen wäre, hätten die italienischen Behörden von der Parallelbeziehung des Beschwerdeführers Kenntnis gehabt. Allerdings trifft es nicht zu, dass er ab diesem Zeitpunkt gestützt auf das Freizügigkeitsabkommen ein generelles Aufenthaltsrechts ausserhalb eines Familiennachzugs gehabt habe. Der Beschwerdeführer übersieht, dass die spezifischen Freizügigkeitsrechte nicht voraussetzungslos gelten. Er konnte sich auf keines von ihnen berufen. Denn er ging, soweit ersichtlich, keiner unselbständigen Erwerbstätigkeit nach, war also nicht Arbeitnehmer (Art. 6 Anhang I FZA), für den Aufenthalt als selbständig Erwerbstätiger fehlte ihm eine existenzsichernde Geschäftstätigkeit (Art. 12 Abs. 1 und 2 des Anhangs I FZA; Urteil des BGer 2C_430/2020 vom 13. Juli 2020 E. 4.1 m.H.) und für einen Aufenthalt ohne Erwerbstätigkeit mangelte es ihm an ausreichenden finanziellen Mitteln (Art. 24 Abs. 1 Anhang I FZA). Der (Dauer-)Aufenthalt des Beschwerdeführers in der Schweiz hing daher auch nach Erwerb des italienischen Staatsbürgerrechts von seiner Ehe mit der schweizerisch-italienischen Doppelbürgerin und damit vom Erfolg seiner Täuschung ab. Zu seinen Gunsten spricht indessen, dass die Ehegatten von ihrer Trennung im April 2014 keinen Hehl machten. Gleichwohl nahm sich die kantonale Migrationsbehörde der Angelegenheit erst näher an, nachdem sie aus Anlass des Familiennachzugsgesuchs vom 15. März 2019 von der Parallelbeziehung des Beschwerdeführers erfahren hatte.</w:t>
      </w:r>
    </w:p>
    <w:p>
      <w:r>
        <w:rPr>
          <w:b/>
        </w:rPr>
        <w:t>E. 8.3.2</w:t>
      </w:r>
    </w:p>
    <w:p>
      <w:r>
        <w:t>Das Aussageverhalten, das der Beschwerdeführer im Zusammenhang mit dem Familiennachzug an den Tag gelegt hat, lässt ihn ebenfalls in einem ungünstigen Licht erscheinen.</w:t>
      </w:r>
    </w:p>
    <w:p>
      <w:r>
        <w:rPr>
          <w:b/>
        </w:rPr>
        <w:t>E. 8.3.2.1</w:t>
      </w:r>
    </w:p>
    <w:p>
      <w:r>
        <w:t>Im Familiennachzugsgesuch vom 15. März 2019 bestätigte der Beschwerdeführer explizit, dass er der Vater der vier Kinder sei, und belegte diese Behauptung mit nigerianischen Geburtsurkunden (BS-act. 117 ff., 140 ff.). Seine Angaben bestätigte er mit Schreiben vom 26. März 2019 an die kantonale Migrationsbehörde. Er versicherte gleichzeitig, dass er und seine jetzige Ehefrau seit anfangs 2006 ein Liebespaar gewesen seien und dass er seine Ehefrau und die gemeinsamen vier Kinder nachziehe wolle, weil er immer an sie denken müsse, sie vermisse und in seinem Alter nicht mehr von ihnen getrennt leben wolle. Ausserdem wolle er seinen Kindern eine gute Schulbildung und eine gute Zukunft ermöglichen (SEM-act. 149 f., 151 f.).</w:t>
      </w:r>
    </w:p>
    <w:p>
      <w:r>
        <w:rPr>
          <w:b/>
        </w:rPr>
        <w:t>E. 8.3.2.2</w:t>
      </w:r>
    </w:p>
    <w:p>
      <w:r>
        <w:t>Als dem Beschwerdeführer nach der Eröffnung des Verfahrens auf Widerruf seiner Niederlassungsbewilligung bewusst wurde, dass er mit seinem Familiennachzugsgesuch den eigenen Aufenthaltstitel in Gefahr brachte, wurde in den Eingaben vom 28. August 2019 und 3. September 2019 aus der Partnerin, mit den ihr seit Anfang 2006 eine Liebesbeziehung verband, in einem ersten Schritt eine «Trägerfrau», die er im Einverständnis seiner Schweizer Ex-Ehefrau suchte und benutzte, um sich seinen Kinderwunsch zu erfüllen. Seine Schweizer Ex-Ehefrau, die selbst vier Kinder gehabt habe und keine Kinder mehr habe bekommen können, habe seinen Kinderwunsch sehr gut nachvollziehen können (SEM-act. 452, 460 f.).</w:t>
      </w:r>
    </w:p>
    <w:p>
      <w:r>
        <w:rPr>
          <w:b/>
        </w:rPr>
        <w:t>E. 8.3.2.3</w:t>
      </w:r>
    </w:p>
    <w:p>
      <w:r>
        <w:t>Nach dem Widerruf der Niederlassungsbewilligung ging der Beschwerdeführer noch weiter. Am 7. Mai 2020 orientierte er die kantonale Migrationsbehörde über seine Trennung von seiner nigerianischen Ehefrau und äusserte Zweifel, ob die Kinder überhaupt von ihm seien. Er habe sie nie rechtmässig anerkannt (BS-act. 517). Nach Darstellung seiner Ex-Ehefrau gegenüber der kantonalen Migrationsbehörde vom 14. Mai 2020 stammt nur ein Kind von ihm. Die anderen Personen seien die Kindsmutter und die drei Halbgeschwister dieses Kindes (BS-act. 531). Und im Schreiben vom 17. Juni 2020 scheint der Beschwerdeführer behaupten zu wollen, dass keines der Kinder von ihm sei und er seiner Schweizer Ehefrau nie untreu gewesen sei. Er habe ein Jahr nach der Scheidung «eine arme junge Frau» in Nigeria geheiratet und sich derer Kinder angenommen, um ihnen den Besuch einer Schule zu ermöglichen (SEM-act. 544).</w:t>
      </w:r>
    </w:p>
    <w:p>
      <w:r>
        <w:rPr>
          <w:b/>
        </w:rPr>
        <w:t>E. 8.3.3</w:t>
      </w:r>
    </w:p>
    <w:p>
      <w:r>
        <w:t>Es tritt hinzu, dass der Beschwerdeführer während seines Aufenthalts in der Schweiz wiederholt strafrechtlich in Erscheinung getreten ist.</w:t>
      </w:r>
    </w:p>
    <w:p>
      <w:r>
        <w:rPr>
          <w:b/>
        </w:rPr>
        <w:t>E. 8.3.3.1</w:t>
      </w:r>
    </w:p>
    <w:p>
      <w:r>
        <w:t>So wurde der Beschwerdeführer mit Urteil des Strafgerichts des Kantons Basel-Stadt vom 20. Oktober 2016 der einfachen Köperverletzung im Sinne von Art. 123 Ziff. 1 und 2 StGB (vorsätzliche Begehung durch Gift, eine Waffe oder einen gefährlichen Gegenstand) und der Drohung im Sinne von Art. 180 Abs. 1 und Abs. 2 Bst. a StGB zum Nachteil eines ehemaligen Arbeitskollegen seiner Ex-Ehefrau schuldig gesprochen und zu einer Freiheitsstrafe von 6 Monaten bei einer Probezeit von 2 Jahren verurteilt. Das Strafverfahren wegen mehrfacher Drohung zu Lasten seiner Ex-Ehefrau wurde gleichzeitig in Anwendung von Art. 55a Abs. 1 Bst. a StGB sistiert (BS-act. 3). Der nicht schriftlich begründeten Verurteilung lag gemäss Anklageschrift der Staatsanwaltschaft des Kantons Basel-Stadt vom 17. Mai 2016 der folgende Sachverhalt zugrunde (BS-act. 1): Am 19. September 2015 nahm der Beschwerdeführer an einer Abdankungsfeier teil. Als er dort seine von ihm zwischenzeitlich getrennt lebende Ex-Ehefrau traf und sah, dass sie in Begleitung des Geschädigten war, forderte er sie auf, den Anlass zu verlassen. In der Folge kam es zu einer verbalen Auseinandersetzung zwischen dem Beschwerdeführer einerseits und seiner Ex-Ehefrau, die der Aufforderung nicht nachkam, sowie dem Geschädigten andererseits, in deren Verlauf der Beschwerdeführer den Geschädigten mehrfach mit dem Tod bedrohte. Der Versuch der Ex-Ehefrau, den Beschwerdeführer zu beruhigen, misslang und nachdem dieser erfolglos versucht hatte, den Geschädigten am Hals zu packen, griff er nach seinem mitgebrachten Stock und schlug mit diesem den Geschädigten mehrfach gegen den Hals und auf den Hinterkopf. Der Beschwerdeführer liess vom Geschädigten erst ab, nachdem es Drittpersonen gelungen war, ihn von diesem wegzuziehen. Am Folgetag betrat der Beschwerdeführer die Wohnung seiner Ex-Ehefrau und drohte ihr gegenüber, dass er den Geschädigten töten werde, falls er ihn irgendwo auf der Strasse sehen werde bzw. falls sie nicht die Finger von ihm lassen sollte bzw. falls er sie noch einmal in seiner Begleitung sehen sollte.</w:t>
      </w:r>
    </w:p>
    <w:p>
      <w:r>
        <w:rPr>
          <w:b/>
        </w:rPr>
        <w:t>E. 8.3.3.2</w:t>
      </w:r>
    </w:p>
    <w:p>
      <w:r>
        <w:t>Bereits zuvor wurde der Beschwerdeführer wegen eines mutmasslichen Gewaltdelikts polizeilich aktenkundig. Ein Mitschüler seiner Deutschklasse beschuldigte den Beschwerdeführer, ihn am 24. August 2012 verprügelt zu haben und ihn am 29. August 2012 mit weiteren Schlägen bedroht zu haben (BS-act. 13). Der Beschwerdeführer gestand ein, dass es zwischen ihm und seinem Mitschüler zu einem Kampf gekommen sei, die Ursache jedoch rassistische Provokationen gewesen seien (BS-act. 17). Zu einer gerichtlichen Beurteilung kam es nicht, da der Mitschüler seinen Strafantrag zurückzog. Das Strafverfahren wurde mit Verfügung vom 10. Oktober 2013 von der Staatsanwaltschaft des Kantons Basel-Landschaft eingestellt (BS-act. 28).</w:t>
      </w:r>
    </w:p>
    <w:p>
      <w:r>
        <w:rPr>
          <w:b/>
        </w:rPr>
        <w:t>E. 8.3.3.3</w:t>
      </w:r>
    </w:p>
    <w:p>
      <w:r>
        <w:t>Am 16. Dezember 2016 erging gegen den Beschwerdeführer ein Strafbefehl der Staatsanwaltschaft des Kantons Basel-Stadt, mit welchem er wegen einer Reihe von Zuwiderhandlungen gegen das Strassenverkehrsgesetz zu einer bedingten Geldstrafe von 40 Tagessätzen bei einer Probezeit von 2 Jahren und gemeinnütziger Arbeit von 32 Stunden verurteilt wurde. Dem Beschwerdeführer wurde insbesondere angelastet, dass er am 30. Januar 2016 das Motorfahrzeug seiner damaligen Freundin (zum Gebrauch) entwendet und mit ihm ohne die vorgeschriebene Begleitperson sowie die vorgeschriebene L-Tafel Vorschriftssignale missachtend eine Lernfahrt durchgeführt hatte (BS-act. 7)</w:t>
      </w:r>
    </w:p>
    <w:p>
      <w:r>
        <w:rPr>
          <w:b/>
        </w:rPr>
        <w:t>E. 8.3.4</w:t>
      </w:r>
    </w:p>
    <w:p>
      <w:r>
        <w:t>Schliesslich ist dem Beschwerdeführer vorzuhalten, dass er sich nach dem rechtskräftigen Widerruf seiner Niederlassungsbewilligung und Wegweisung aus der Schweiz während längerer Zeit rechtswidrig im Land aufhielt und sich beharrlich weigerte, seiner Ausreiseverpflichtung nachzukommen. Die ihm ursprünglich bis 30. April 2020 gesetzte Frist zur Ausreise liess er ebenso unbeachtet, wie die ihm bei der Einvernahme vom 13. Oktober 2020 unter Androhung der Anordnung einer Ausschaffungs- oder Vorbereitungshaft zwecks Sicherung des Wegweisungsvollzugs gesetzte, bis 27. Oktober 2020 laufende Nachfrist (BS-act. 593). Der Beschwerdeführer erklärte damals, er sei nicht bereit, die Schweiz zu verlassen. Sollte er ausgeschafft werden, werde er umgehend zurückkehren (BS-act. 590 ff.). Am 28. Januar 2021 wurde der Beschwerdeführer wegen illegalem Aufenthalt festgenommen. Anlässlich seiner Einvernahme vom 5. Februar 2021 behauptete der Beschwerdeführer, dass er am 27. Oktober 2020 die Schweiz Richtung Elsass verlassen habe, aber schon am Folgetag zurückgekehrt sei, weil seine Einsprache gegen das Einreiseverbot «akzeptiert» worden sei. Wiederum wurde ihm unter Androhung polizeilicher Zwangsmittel eine Nachfrist bis 1. März 2021 eingeräumt. Auch dieses Mal erklärte der Beschwerdeführer, er werde die Schweiz nicht bzw. niemals verlassen (unpaginiert bei den Akten des SEM). Dementsprechend musste der Beschwerdeführer nach unbenütztem Ablauf der Frist am 2. März 2021 erneut festgenommen und in Ausschaffungshaft genommen werden. Nachdem er anlässlich der gerichtlichen Haftüberprüfung vom 5. März 2021 das Gericht davon überzeugen konnte, dass er den für 12. März 2021 bereits gebuchten Flug nach Italien freiwillig antreten werde, wurde der Beschwerdeführer auf freien Fuss gesetzt. Am 8. März 2021 teilte der Beschwerdeführer über seinen Rechtsvertreter mit, dass er zwischenzeitlich im grenznahen Frankreich Wohnsitz genommen habe. Das Verfahren betreffend Aufenthaltsbewilligung sei in Frankreich hängig. Er werde somit nicht wie angekündigt nach Italien ausreisen (Beilage zu Rek-act. 18).</w:t>
      </w:r>
    </w:p>
    <w:p>
      <w:r>
        <w:rPr>
          <w:b/>
        </w:rPr>
        <w:t>E. 8.4</w:t>
      </w:r>
    </w:p>
    <w:p>
      <w:r>
        <w:t>Die aufgeführten belastenden Sachverhaltselemente vermögen jeweils für sich alleine kaum eine Gefahr zu begründen, die den Anforderungen des Art. 5 Abs. 1 Anhang I FZA genügen würde. Teils erreichen sie den notwendigen Schweregrad nicht, teils liegen sie zeitlich zu weit zurück, ohne dass der Beschwerdeführer wieder einschlägig in Erscheinung getreten wäre. In ihrer Gesamtheit zeigen sie deutlich eine impulsive und unbeherrschte Persönlichkeit des Beschwerdeführers auf, der während längerer Zeit in unterschiedlichen Lebensbereichen erhebliche Mühe mit der Respektierung der Rechtsordnung bekundete beziehungsweise bekundet. Mit weiteren Störungen der Rechtsordnung muss gerechnet werden, wobei zum heutigen Zeitpunkt die ausländerrechtliche Ordnung im Vordergrund steht. Der Beschwerdeführer ist zwar mit einem knappen Jahr Verspätung doch noch ausgereist und lebt heute - soweit bekannt - im grenznahen Ausland. Mit Blick auf die gesamten Umstände ist jedoch zu befürchten, dass die Einsicht des Beschwerdeführers nicht von Dauer ist und er ohne eine Fernhaltemassnahme versucht sein könnte, in Missachtung der Rechtslage erneut auf Dauer in der Schweiz Fuss zu fassen. Auch angesichts der zurückhaltenden Rechtsprechung des Bundesverwaltungsgerichts zu freizügigkeitsrechtsbeschränkenden Massnahmen infolge drohender Störung der ausländerrechtlichen Ordnung (vgl. dazu etwa das Urteil des BVGer F-7007/2017 vom 13. November 2018 m.H.) ist im konkreten Fall davon auszugehen, dass vom Beschwerdeführer ein tatsächliche, gegenwärtige und hinreichende Gefahr ausgeht, die ein Grundinteresse der Gesellschaft berührt. Die Eingriffsvoraussetzungen sind mithin auch im Lichte des Freizügigkeitsabkommens erfüllt.</w:t>
      </w:r>
    </w:p>
    <w:p>
      <w:r>
        <w:rPr>
          <w:b/>
        </w:rPr>
        <w:t>E. 9.1</w:t>
      </w:r>
    </w:p>
    <w:p>
      <w:r>
        <w:t>Den Entscheid darüber, ob ein Einreiseverbot anzuordnen und wie es zeitlich auszugestalten ist, legen Art. 67 Abs. 2 und 3 AIG in das pflichtgemässe Ermessen der Behörde. Zentrale Bedeutung kommt dabei dem Grundsatz der Verhältnismässigkeit zu, der eine wertende Abwägung zwischen den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9.2</w:t>
      </w:r>
    </w:p>
    <w:p>
      <w:r>
        <w:t>Vom Beschwerdeführer geht, wie weiter oben dargelegt, eine rechtserhebliche Gefahr für die öffentliche Sicherheit und Ordnung aus. Es besteht daher ein öffentliches Interesse an seiner Fernhaltung. Von besonderem Gewicht, das auch eine längerfristige Fernhaltemassnahme rechtfertigen könnte, ist das öffentliche Interesse jedoch nicht. Denn zum heutigen Zeitpunkt sind keine hochwertigen Rechtsgüter gefährdet. Die Fernhaltemassnahme dient im Wesentlichen dazu, dem Entscheid der kantonalen Bewilligungsbehörde über den Widerruf der Niederlassungsbewilligung und Wegweisung des Beschwerdeführers Nachdruck zu verleihen.</w:t>
      </w:r>
    </w:p>
    <w:p>
      <w:r>
        <w:rPr>
          <w:b/>
        </w:rPr>
        <w:t>E. 9.3</w:t>
      </w:r>
    </w:p>
    <w:p>
      <w:r>
        <w:t>Auf der anderen Seite hielt sich der Beschwerdeführer vergleichsweise lange in der Schweiz auf. Über eine entsprechende Integration verfügt er jedoch nicht. Gleichwohl ist ihm aufgrund des langen Aufenthaltes und der Bedeutung der Freizügigkeitsrechte ein gewisses Interesse an von behördlichen Massnahmen ungestörten Einreisen nicht abzusprechen. Hinzu tritt, dass er - soweit bekannt - in unmittelbarer Grenznähe zur Schweiz in einer Gegend lebt, die kulturell und wirtschaftlich sehr stark auf die Stadt Basel ausgerichtet ist, und daher vom Einreiseverbot vergleichsweise stark betroffen sein dürfte.</w:t>
      </w:r>
    </w:p>
    <w:p>
      <w:r>
        <w:rPr>
          <w:b/>
        </w:rPr>
        <w:t>E. 9.4</w:t>
      </w:r>
    </w:p>
    <w:p>
      <w:r>
        <w:t>Eine wertende Gewichtung der sich gegenüberstehenden Interessen führt das Bundesverwaltungsgericht zum Ergebnis, dass das gegen den Beschwerdeführer verhängte Einreiseverbot dem Grundsatz nach zwar nicht beanstandet werden kann. Die auf drei Jahre bemessene Dauer der Fernhaltemassnahme erscheint jedoch nicht als verhältnismässig. Angesicht der gesamten Umstände und unter Berücksichtigung der Tatsache, dass der Beschwerdeführer die Schweiz am 8. März 2021 verlassen hat, erachtet es das Bundesverwaltungsgericht als verhältnismässig und angemessen, das Einreiseverbot auf zwei Jahre, d.h. bis zum 27. Oktober 2022 zu befristen.</w:t>
      </w:r>
    </w:p>
    <w:p>
      <w:r>
        <w:rPr>
          <w:b/>
        </w:rPr>
        <w:t>E. 10</w:t>
      </w:r>
    </w:p>
    <w:p>
      <w:r>
        <w:t>Aus diesen Erwägungen folgt, dass das auf 3 Jahre befristete Einreiseverbot Bundesrecht verletzt (vgl. Art. 49 VwVG). Es ist hinsichtlich seiner Dauer aufzuheben und bis zum 27. Oktober 2022 zu befristen. In diesem Sinne ist die Beschwerde teilweise gutzuheissen.</w:t>
      </w:r>
    </w:p>
    <w:p>
      <w:r>
        <w:rPr>
          <w:b/>
        </w:rPr>
        <w:t>E. 11.1</w:t>
      </w:r>
    </w:p>
    <w:p>
      <w:r>
        <w:t>Entsprechend dem Ausgang des Verfahrens wären dem Beschwerdeführer grundsätzlich ermässigte Verfahrenskosten aufzuerlegen (vgl. Art. 63 Abs. 1 VwVG sowie Art. 1 ff. des Reglements vom 21. Februar 2008 über die Kosten und Entschädigungen vor dem Bundesverwaltungsgericht [VGKE, SR 173.320.2]). Infolge der Gewährung der unentgeltlichen Rechtspflege ist davon jedoch abzusehen. Die Vorinstanz hat von Gesetzes wegen keine Verfahrenskosten zu tragen (Art. 63 Abs. 2 VwVG).</w:t>
      </w:r>
    </w:p>
    <w:p>
      <w:r>
        <w:rPr>
          <w:b/>
        </w:rPr>
        <w:t>E. 11.2</w:t>
      </w:r>
    </w:p>
    <w:p>
      <w:r>
        <w:t>Für die notwendigen Kosten der Rechtsvertretung ist dem Beschwerdeführer im Umfang seines teilweisen Obsiegens eine (gekürzte) Parteientschädigung zuzusprechen. Diese geht zulasten der Vorinstanz (Art. 64 Abs. 1 und Abs. 2 VwVG). Zur Deckung des darüber hinausgehenden Aufwands ist dem als amtlichen Anwalt bestellten Rechtsvertreter ein Honorar aus der Gerichtskasse auszurichten (vgl. Art. 12 VGKE). Mangels einer Kostennote setzt das Gericht die Parteientschädigung und das Honorar des amtlichen Anwalts nach pflichtgemässem Ermessen fest (Art. 14 Abs. 2 VGKE).</w:t>
      </w:r>
    </w:p>
    <w:p>
      <w:r>
        <w:rPr>
          <w:b/>
        </w:rPr>
        <w:t>E. 11.3</w:t>
      </w:r>
    </w:p>
    <w:p>
      <w:r>
        <w:t>Die Höhe der zu ersetzenden Gesamtkosten ist mit Blick auf den aktenkundigen Aufwand, die Komplexität und Bedeutung der Sache sowie in Anwendung der gesetzlichen Bemessungskriterien von Art. 8 ff. VGKE auf Fr. 1'800.- festzulegen. Davon entfallen Fr. 600.- auf die Parteientschädigung und Fr. 1'200.- auf das amtliche Honorar. Gelangt der Beschwerdeführer später zu hinreichenden Mitteln, ist das amtliche Honorar zurückzuerstatten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