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F-5174/2025 vom 23. Juli 2025</w:t>
      </w:r>
    </w:p>
    <w:p>
      <w:r>
        <w:t>Bundesverwaltungsgericht, 2025-07-23, FR</w:t>
      </w:r>
    </w:p>
    <w:p>
      <w:r>
        <w:rPr>
          <w:b/>
        </w:rPr>
        <w:t xml:space="preserve">Quelle: </w:t>
      </w:r>
      <w:r>
        <w:t>https://mcp.opencaselaw.ch/entscheid/bvger_F-5174_2025</w:t>
      </w:r>
    </w:p>
    <w:p>
      <w:r>
        <w:t>FR: TAF F-5174/2025 du 23 juillet 2025</w:t>
      </w:r>
    </w:p>
    <w:p>
      <w:r>
        <w:t>IT: TAF F-5174/2025 del 23 luglio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En outre, les recourants ont qualité pour recourir et le recours a été présenté dans la forme et le délai prescrits. Celui-ci est dès lors recevable (art. 48 al. 1 et 52 al. 1 PA [RS 172.021], applicables par renvoi de l'art. 37 LTAF, et art. 108 al. 3 LAsi).</w:t>
      </w:r>
    </w:p>
    <w:p>
      <w:r>
        <w:rPr>
          <w:b/>
        </w:rPr>
        <w:t>E. 1.2</w:t>
      </w:r>
    </w:p>
    <w:p>
      <w:r>
        <w:t>Conformément à l'art. 33a al. 2 PA, dans la procédure de recours, la langue est celle de la décision attaquée. Si les parties utilisent une autre langue officielle, celle-ci peut être adoptée. La décision attaquée ayant été rédigée en français, le Tribunal statuera sur le recours dans cette langue, bien que le mémoire des recourants a été rédigé en allemand. Les représentants des recourants sont présumés maîtriser au moins passivement la langue française.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et 2014/26 consid. 5.6).</w:t>
      </w:r>
    </w:p>
    <w:p>
      <w:r>
        <w:rPr>
          <w:b/>
        </w:rPr>
        <w:t>E. 1.4</w:t>
      </w:r>
    </w:p>
    <w:p>
      <w:r>
        <w:t>Le Tribunal applique le droit d'office, sans être lié par les motifs invoqués par les parties (art. 62 al. 4 PA), ni par les considérants juridiques de la décision attaquée (cf. ATAF 2014/24 consid. 2.2 ; 2009/57 consid. 1.2 ; voir également arrêt du Tribunal fédéral [ci-après : TF] 1C_214/2015 du 6 novembre 2015 consid. 2.2.2). Aussi peut-il admettre ou rejeter le recours pour d'autres motifs que ceux invoqués.</w:t>
      </w:r>
    </w:p>
    <w:p>
      <w:r>
        <w:rPr>
          <w:b/>
        </w:rPr>
        <w:t>E. 2</w:t>
      </w:r>
    </w:p>
    <w:p>
      <w:r>
        <w:t>Les recourants s'étant prévalus d'une violation de la maxime inquisitoire (art. 12 PA), il convient d'examiner en premier lieu ce grief d'ordre formel.</w:t>
      </w:r>
    </w:p>
    <w:p>
      <w:r>
        <w:rPr>
          <w:b/>
        </w:rPr>
        <w:t>E. 2.1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2022 VII/2 consid. 9.6 ; 2015/10 consid. 3.2 ; 2012/21 consid. 5.1]).</w:t>
      </w:r>
    </w:p>
    <w:p>
      <w:r>
        <w:rPr>
          <w:b/>
        </w:rPr>
        <w:t>E. 2.2</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2.3</w:t>
      </w:r>
    </w:p>
    <w:p>
      <w:r>
        <w:t>Pour l'essentiel, les recourants ont reproché à l'autorité inférieure d'avoir instruit de manière insuffisante leur état de santé et les violences subies en Croatie. Or, il ressort de la décision du SEM que l'autorité a instruit le dossier de la cause en retenant expressément les violences et les problèmes de santé allégués par les recourants. L'argument des recourants tombe à faux dans la mesure qu'ils remettent en question l'appréciation des faits par l'autorité et non un éventuel défaut d'instruction. En effet, ils contestent l'importance donnée aux faits allégués par l'autorité et les motifs justifiant ou non l'application de la clause de souveraineté de l'art. 17 par. 1 RD III.</w:t>
      </w:r>
    </w:p>
    <w:p>
      <w:r>
        <w:rPr>
          <w:b/>
        </w:rPr>
        <w:t>E. 2.4</w:t>
      </w:r>
    </w:p>
    <w:p>
      <w:r>
        <w:t>Le grief formel des recourants est donc infondé et doit être écarté dans la mesure où il ressort de l'examen au fond qui fera l'objet des considérants ci-après.</w:t>
      </w:r>
    </w:p>
    <w:p>
      <w:r>
        <w:rPr>
          <w:b/>
        </w:rPr>
        <w:t>E. 3</w:t>
      </w:r>
    </w:p>
    <w:p>
      <w:r>
        <w:t>Saisi d'un recours contre une décision de non-entrée en matière sur une demande d'asile, le Tribunal se limite à examiner le bien-fondé d'une telle décision (cf. ATAF 2017/5 consid. 3.1 ; 2012/4 consid. 2.2; 2009/54 consid. 1.3.3; 2007/8 consid. 5).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3.3</w:t>
      </w:r>
    </w:p>
    <w:p>
      <w:r>
        <w:t>Dans une procédure de reprise en charge (anglais : take back), comme en l'espèce, il n'y a en principe aucun nouvel examen de la compétence selon le chapitre III du RD III (cf. ATAF 2019 VI/7 consid. 6.4.1.1).</w:t>
      </w:r>
    </w:p>
    <w:p>
      <w:r>
        <w:rPr>
          <w:b/>
        </w:rPr>
        <w:t>E. 3.4</w:t>
      </w:r>
    </w:p>
    <w:p>
      <w:r>
        <w:t>En l'occurrence, les investigations entreprises par le SEM ont révélé que les recourants avaient déposé des demandes d'asile en Croatie le 3 avril 2025. Le 24 avril 2025, le SEM a dès lors soumis aux autorités croates une requête aux fins de reprise en charge fondée sur l'art. 18 par. 1 let. b du règlement Dublin III, dans le délai fixé à l'art. 23 par. 2 RD III.</w:t>
      </w:r>
    </w:p>
    <w:p>
      <w:r>
        <w:rPr>
          <w:b/>
        </w:rPr>
        <w:t>E. 3.5</w:t>
      </w:r>
    </w:p>
    <w:p>
      <w:r>
        <w:t>Le 2 mai 2025, les autorités croates ont expressément accepté de reprendre en charge les recourants, dans le délai de l'art. 25 par. 1 RD III, précisant qu'elles allaient poursuivre le processus de détermination de leur responsabilité sur la base de l'art. 20 par. 5 du règlement Dublin III (pour la portée de cette disposition, cf. notamment : arrêts du TAF F-3303/2023 du 16 juin 2023 consid. 3.4 à 3.6 ; F-4079/2022 du 23 septembre 2022 consid. 4.3 et réf. cit.). Force est ainsi de constater que la Croatie a reconnu sa responsabilité pour achever le processus de détermination de l'Etat membre responsable.</w:t>
      </w:r>
    </w:p>
    <w:p>
      <w:r>
        <w:rPr>
          <w:b/>
        </w:rPr>
        <w:t>E. 4</w:t>
      </w:r>
    </w:p>
    <w:p>
      <w:r>
        <w:t>Les recourants ont fait valoir qu'il existait des défaillances systémiques dans la procédure d'asile et l'accueil des demandeurs de protection internationale en Croatie, si bien qu'un transfert vers ce pays violerait l'art. 3 CEDH.</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De jurisprudence constante,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F-3673/2025 du 28 mai 2025, consid. 3.1 à 3.3 ; F-2966/2025 du 29 avril 2025 p. 4 s. ; F-2472/2024 du 25 mars 2025 consid. 6.5.1 s. ; F-1367/2025 du 24 mars 2025 consid. 5).</w:t>
      </w:r>
    </w:p>
    <w:p>
      <w:r>
        <w:rPr>
          <w:b/>
        </w:rPr>
        <w:t>E. 4.3</w:t>
      </w:r>
    </w:p>
    <w:p>
      <w:r>
        <w:t>Par voie de conséquence, en l'absence d'une pratique actuelle avérée en Croatie de violations systématiques des normes communautaires et conventionnelles en la matière, la présomption de respect par cet Etat de ses obligations concernant les droits des requérants d'asile, dans le cadre d'une procédure Dublin, n'est pas renversée. L'application de l'art. 3par. 2 al. 2 RD III ne se justifie donc pas en l'espèce (cf. ATAF 2017 VI/5 consid. 8.4).</w:t>
      </w:r>
    </w:p>
    <w:p>
      <w:r>
        <w:rPr>
          <w:b/>
        </w:rPr>
        <w:t>E. 5</w:t>
      </w:r>
    </w:p>
    <w:p>
      <w:r>
        <w:t>Les intéressés ont également contesté la décision du SEM en invoquant, d'une part, la violation des art. 3 et 13 CEDH et l'art. 3 Convention du 10 décembre 1984 contre la torture et autres peines et traitements cruels, inhumains ou dégradants (CCT, RS 0.105) en lien avec la violation Convention internationale sur l'élimination de toutes les formes de discrimination raciale (CERD, RS 0.104), l'art. 3 en lien avec l'art. 13 de la de la Convention du 20 novembre 1989 relative aux droits de l'enfant (CDE, RS 0.107), et, d'autre part, la violation de l'art. 17 par. 1 RD III en lien avec l'art. 29a al. 3 OA 1.</w:t>
      </w:r>
    </w:p>
    <w:p>
      <w:r>
        <w:rPr>
          <w:b/>
        </w:rPr>
        <w:t>E. 5.1</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 2017 VI/5 consid. 8.5.2 ; sur la nature facultative de l'art. 17 par. 1 RD III,cf., néanmoins, arrêts de la CJUE C-359/22 du 18 avril 2024 [§ 38 à 40] et C-578/16 du 16 février 2017 [§ 97 et ch. 2 du dispositif]).</w:t>
      </w:r>
    </w:p>
    <w:p>
      <w:r>
        <w:rPr>
          <w:b/>
        </w:rPr>
        <w:t>E. 5.2</w:t>
      </w:r>
    </w:p>
    <w:p>
      <w:r>
        <w:t>Il sied de retenir que les intéressés, qui ne sont demeurés sur le territoire croate que peu de temps après leur interpellation par la police, n'ont pas apporté d'indices objectifs, concrets et sérieux qu'ils seraient privés durablement, en Croatie, de tout accès aux conditions matérielles d'accueil prévues par la directive Accueil (référence complète : directive n° 2013/33/UE du Parlement européen et du Conseil du 26 juin 2013 établissant des normes pour l'accueil des personnes demandant la protection internationale) et qu'ils ne pourraient pas bénéficier de l'aide nécessaire pour faire valoir leurs droits. Enfin, ils n'ont pas démontré que leurs conditions d'existence dans ce pays revêtiraient un tel degré de pénibilité et de gravité qu'elles seraient constitutives d'un traitement contraire à l'art. 3 CEDH ou encore à l'art. 3 CCT. Si les intéressés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F-3676/2025 du 27 mai 2025 consid. 6.2). La Croatie est un Etat de droit, disposant d'un système judiciaire, et aucun élément ne permet de penser que les autorités compétentes de ce pays n'offriraient pas aux recourants une protection adéquate, au cas où ils en feraient la demande (cf. arrêt du TAF F-3372/2024 du 4 juin 2024 consid. 4.3). Ainsi, les arguments que les recourants entendent tirer du non-respect par la Croatie du droit à un recours effectif ancré à l'art. 13 CEDH tombent à faux (cf., mutatis mutandis, arrêts du TAF F-2262/2025 du 8 mai 2025 consid. 7.2 ; F-1897/2024 du 24 mars 2025 consid. 4.5). Au surplus, le règlement Dublin III ne confère pas aux demandeurs d'asile le droit de choisir l'Etat membre offrant, à leur avis, les meilleures conditions d'accueil comme Etat responsable de l'examen de leur demande d'asile (cf. ATAF 2010/45 consid. 8.3).</w:t>
      </w:r>
    </w:p>
    <w:p>
      <w:r>
        <w:rPr>
          <w:b/>
        </w:rPr>
        <w:t>E. 5.3</w:t>
      </w:r>
    </w:p>
    <w:p>
      <w:r>
        <w:t>Finalement, il n'y a pas de raison de retenir que le transfert des recourants en Croatie constituerait une violation de l'art. 3 CDE. En effet, la recourante 3 sera transférée en Croatie, Etat signataire de la CDE, avec ses parents. Ces derniers assureront sa prise en charge et lui apporteront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 F- 5023/2022 du 23 novembre 2022 consid. 6.3).</w:t>
      </w:r>
    </w:p>
    <w:p>
      <w:r>
        <w:rPr>
          <w:b/>
        </w:rPr>
        <w:t>E. 5.4</w:t>
      </w:r>
    </w:p>
    <w:p>
      <w:r>
        <w:t>En ce qui concerne l'état de santé des intéressés, le Tribunal se détermine comme suit.</w:t>
      </w:r>
    </w:p>
    <w:p>
      <w:r>
        <w:rPr>
          <w:b/>
        </w:rPr>
        <w:t>E. 5.5</w:t>
      </w:r>
    </w:p>
    <w:p>
      <w:r>
        <w:t>Selon la jurisprudence de la Cour EDH (cf., notamment, arrêts de la Cour EDH Paposhvili contre Belgique [Grande chambre] du 13 décembre 2016, req. no 41738/10 et Savran c. Danemark [Grande chambre] du 7 décembre 2021, req. no 57467/15, par. 122 à 139),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Cas échéant, il incomberait aux recourants de faire valoir leurs droits directement auprès des autorités compétentes en Croatie, en usant des voies de droit idoines (art. 26 directive Accueil).</w:t>
      </w:r>
    </w:p>
    <w:p>
      <w:r>
        <w:rPr>
          <w:b/>
        </w:rPr>
        <w:t>E. 5.6</w:t>
      </w:r>
    </w:p>
    <w:p>
      <w:r>
        <w:t>En l'occurrence, plusieurs pièces médicales - respectivement journaux de soins - documentent les affections des recourants et détaillent les traitements prescrits et contrôles effectués.</w:t>
      </w:r>
    </w:p>
    <w:p>
      <w:r>
        <w:rPr>
          <w:b/>
        </w:rPr>
        <w:t>E. 5.6.1</w:t>
      </w:r>
    </w:p>
    <w:p>
      <w:r>
        <w:t>Le recourant 1 souffre de douleurs au dos, respectivement à la nuque et à l'omoplate, suite aux mauvais traitements en Croatie pour lesquels il suit un traitement. Le 27 juin 2025, son épaule a fait l'objet d'une radiographie lors de laquelle rien d'anormal n'a été constaté. Il est aussi suivi pour un état de stress post-traumatique (PTSD) qui lui cause de l'angoisse, des problèmes de sommeil et il fait aussi état de pensées suicidaires non-scénarisées. Il est suivi pour des troubles psychiques qui se caractérisent par des cauchemars qui l'empêchent de dormir et des épisodes de grande tristesse. Il a indiqué s'inquiéter de ses idées suicidaires, sa femme et sa fille étant toutefois un facteur protecteur. Il a un traitement médicamenteux et est suivi par un psychiatre.</w:t>
      </w:r>
    </w:p>
    <w:p>
      <w:r>
        <w:rPr>
          <w:b/>
        </w:rPr>
        <w:t>E. 5.6.2</w:t>
      </w:r>
    </w:p>
    <w:p>
      <w:r>
        <w:t>La recourante 2 souffre d'angoisse et était déjà suivie par un psychiatre en Turquie. Elle a fait état d'une grande tristesse, de ne plus pouvoir allaiter et de souffrir d'un détachement envers son enfant. Elle a indiqué vouloir mourir mais son enfant est un facteur protecteur. Elle a suivi un traitement médicamenteux pour son angoisse. En outre, elle a souffert de douleurs au niveau de la poitrine pour lesquels elle a fait l'objet d'une radiographie le 12 juin 2025. La radiographie a fait état de trois lésions et une radiographie est préconisée dans les trois mois.</w:t>
      </w:r>
    </w:p>
    <w:p>
      <w:r>
        <w:rPr>
          <w:b/>
        </w:rPr>
        <w:t>E. 5.6.3</w:t>
      </w:r>
    </w:p>
    <w:p>
      <w:r>
        <w:t>La recourante 3 a souffert de problèmes de constipation pour lesquels elle est sous traitement. En date du 5 juin 2025, elle a souffert d'une chute au centre fédéral suite à laquelle elle a été hospitalisée. Il ressort du dossier qu'elle a perdu connaissance pendant quatre minutes et a souffert d'un traumatisme crânien. Elle a été gardée pour observation une nuit. Le 10 juin 2025, elle a été emmenée à l'hôpital par ses parents pour une éruption cutanée suite à une gastrite aiguë virale pour laquelle elle a suivi un traitement.</w:t>
      </w:r>
    </w:p>
    <w:p>
      <w:r>
        <w:rPr>
          <w:b/>
        </w:rPr>
        <w:t>E. 5.6.4</w:t>
      </w:r>
    </w:p>
    <w:p>
      <w:r>
        <w:t>Compte tenu du tableau clinique des intéressés, rien ne laisse penser qu'en cas de transfert vers la Croatie, ils risqueraient d'être exposés à un déclin grave, rapide et irréversible de leur état de santé. Les examens médicaux subis en Suisse, les diagnostics posés et les traitements suivis ne sont pas révélateurs de maladies d'une gravité ou d'une spécificité telle qu'elles ne pourraient pas être traitées dans cet Etat. Il ressort de la jurisprudence que les requérants d'asile ont accès à des prestations de soins, y compris psychologiques ou psychiatriques, en Croatie et que les personnes vulnérables peuvent trouver un soutien auprès de la Croix-Rouge croate et de Médecins du Monde (cf. arrêts du TAF F-3676/2025 du 27 mai 2025 consid. 6.4.3 ; F-2262/2025 du 8 mai 2025 consid. 7.4.4 ; F-1855/2023 du 21 mai 2024 consid. 5.7.5).</w:t>
      </w:r>
    </w:p>
    <w:p>
      <w:r>
        <w:rPr>
          <w:b/>
        </w:rPr>
        <w:t>E. 5.6.5</w:t>
      </w:r>
    </w:p>
    <w:p>
      <w:r>
        <w:t>En conséquence, il y a lieu de retenir que les problèmes de santé, sous traitement médical, dont les recourants sont atteints - et dont le Tribunal ne remet pas en cause l'importance - ne sauraient faire obstacle à l'exécution de leur transfert vers la Croatie. A propos des idéations suicidaires qui persistent malgré le traitement médicamenteux prescrit, il est rappelé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F-461/2025 du 13 février 2025 consid. 7.3.2 et jurisp. cit.).</w:t>
      </w:r>
    </w:p>
    <w:p>
      <w:r>
        <w:rPr>
          <w:b/>
        </w:rPr>
        <w:t>E. 5.7</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5.8</w:t>
      </w:r>
    </w:p>
    <w:p>
      <w:r>
        <w:t>En résumé, les recourants n'ont pas renversé la présomption selon laquelle la Croatie respecte ses obligations tirées du droit international public. Ils n'ont pas davantage démontré que leurs conditions d'existence dans ce pays revêtiraient un tel degré de pénibilité et de gravité qu'elles seraient constitutives d'un traitement contraire à l'art. 3 CEDH ou encore à l'art. 3 CCT. Leur transfert vers cet Etat n'est donc pas contraire aux obligations de la Suisse découlant des dispositions conventionnelles auxquelles cette dernière est liée. Pour le surplus, le Tribunal relève que les autorités suisses n'ont pas, en règle générale, à demander des assurances individuelles concernant l'hébergement ou l'accès aux soins aux autorités croates (cf., parmi d'autres, arrêt du TAF F-461/2025 du 13 février 2025 consid. 7.3.5 et les réf. cit.). Quoi qu'en disent les recourants et sur le vu de tout ce qui précède, il n'existe pas de motifs imposant de déroger à cette règle dans la présente affaire.</w:t>
      </w:r>
    </w:p>
    <w:p>
      <w:r>
        <w:rPr>
          <w:b/>
        </w:rPr>
        <w:t>E. 6</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C'est aussi à raison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Au vu de ce qui précède, le recours doit être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la requête formulée dans le recours tendant à l'octroi de l'effet suspensif est sans objet. En outre, le litige prenant fin, les mesures superprovisionnelles prononcées le 15 juillet 2025 sont caduques.</w:t>
      </w:r>
    </w:p>
    <w:p>
      <w:r>
        <w:rPr>
          <w:b/>
        </w:rPr>
        <w:t>E. 8.1</w:t>
      </w:r>
    </w:p>
    <w:p>
      <w:r>
        <w:t>Les conclusions du recours étant d'emblée vouées à l'échec, la demande d'assistance judiciaire est rejetée.</w:t>
      </w:r>
    </w:p>
    <w:p>
      <w:r>
        <w:rPr>
          <w:b/>
        </w:rPr>
        <w:t>E. 8.2</w:t>
      </w:r>
    </w:p>
    <w:p>
      <w:r>
        <w:t>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