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F-5174/2020 vom 27. Oktober 2020</w:t>
      </w:r>
    </w:p>
    <w:p>
      <w:r>
        <w:t>Bundesverwaltungsgericht, 2020-10-27, DE</w:t>
      </w:r>
    </w:p>
    <w:p>
      <w:r>
        <w:rPr>
          <w:b/>
        </w:rPr>
        <w:t xml:space="preserve">Quelle: </w:t>
      </w:r>
      <w:r>
        <w:t>https://mcp.opencaselaw.ch/entscheid/bvger_F-5174_2020</w:t>
      </w:r>
    </w:p>
    <w:p>
      <w:r>
        <w:t>FR: TAF F-5174/2020 du 27 octobre 2020</w:t>
      </w:r>
    </w:p>
    <w:p>
      <w:r>
        <w:t>IT: TAF F-5174/2020 del 27 ottobre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SR 142.311) konkretisiert und das SEM kann das Asylgesuch gemäss dieser Bestimmung "aus humanitären Gründen" auch dann behandeln, wenn dafür gemäss Dublin-III-VO ein anderer Staat zuständig wäre.</w:t>
      </w:r>
    </w:p>
    <w:p>
      <w:r>
        <w:rPr>
          <w:b/>
        </w:rPr>
        <w:t>E. 3.4</w:t>
      </w:r>
    </w:p>
    <w:p>
      <w:r>
        <w:t>Der Beschwerdeführer bestreitet nicht, in Deutschland ein Asylgesuch eingereicht zu haben. Nachdem die deutschen Behörden innert der in Art. 25 Abs. 2 Dublin-III-VO festgelegten Frist dem Wiederaufnahmegesuch des SEM zugestimmt haben, ist die Zuständigkeit gemäss dieser Bestimmung an Deutschland übergegangen.</w:t>
      </w:r>
    </w:p>
    <w:p>
      <w:r>
        <w:rPr>
          <w:b/>
        </w:rPr>
        <w:t>E. 4</w:t>
      </w:r>
    </w:p>
    <w:p>
      <w:r>
        <w:t>Der Beschwerdeführer bringt in seiner Rechtsmitteleingabe im Wesentlichen vor, er sei mit der Überstellung nach Deutschland nicht einverstanden. Deutschland habe sein Asylgesuch abgelehnt und ihn nach Sri Lanka weggewiesen, wo er verfolgt werde und sein Leben in grosser Gefahr wäre. Durch eine Überstellung nach Deutschland würde die Schweiz somit eine Verletzung des Non-Refoulement-Prinzips durch Kettenabschiebung begehen. Die Flucht aus Sri Lanka habe sich in extremster Weise auf seine Psyche ausgewirkt. Seine Erlebnisse hätten zu einer posttraumatischen Belastungsstörung geführt. Er sei deswegen bereits in Deutschland in Behandlung gewesen und werde nun auch in der Schweiz medikamentös behandelt. Seine Angst vor einer Rückkehr nach Sri Lanka sei enorm, weshalb er sich wünsche, hier zu bleiben und seinen Fall den Schweizer Behörden vortragen zu können.</w:t>
      </w:r>
    </w:p>
    <w:p>
      <w:r>
        <w:rPr>
          <w:b/>
        </w:rPr>
        <w:t>E. 4.1</w:t>
      </w:r>
    </w:p>
    <w:p>
      <w:r>
        <w:t>Wie das SEM zutreffend festgehalten hat, gibt es keine wesentlichen Gründe für die Annahme, das Asylverfahren und die Aufnahmebedingungen für asylsuchende Personen in Deutschland hätten Schwachstellen im Sinne von Art. 3 Abs. 2 Sätze 2 und 3 Dublin-III-VO, die eine Gefahr einer unmenschlichen oder entwürdigenden Behandlung im Sinne des Artikels 4 der EU-Grundrechtcharta und Art. 3 EMRK mit sich bringen würden. Auch wenn das Asylverfahren des Beschwerdeführers in Deutschland bereits rechtskräftig abgeschlossen ist, bleibt Deutschland weiterhin für sein Verfahren bis zu einem Wegweisungsvollzug oder einer Regelung des Aufenthaltsstatus zuständig, wobei es an ihm liegt, allfällige Wegweisungshindernisse bei den zuständigen deutschen Behörden vorzubringen.</w:t>
      </w:r>
    </w:p>
    <w:p>
      <w:r>
        <w:rPr>
          <w:b/>
        </w:rPr>
        <w:t>E. 4.2</w:t>
      </w:r>
    </w:p>
    <w:p>
      <w:r>
        <w:t>Die Vorinstanz hat sodann die Anwendung des Selbsteintrittsrechts im Sinne von Art. 17 Abs. 1 Dublin-III-VO sowie Art. 29a Abs. 3 AsylV 1 zu Recht verneint.</w:t>
      </w:r>
    </w:p>
    <w:p>
      <w:r>
        <w:rPr>
          <w:b/>
        </w:rPr>
        <w:t>E. 4.2.1</w:t>
      </w:r>
    </w:p>
    <w:p>
      <w:r>
        <w:t>Der Beschwerdeführer hat kein konkretes und ernsthaftes Risiko dargetan, die deutschen Behörden würden sich weigern, ihn wieder aufzunehmen und seinen Antrag auf internationalen Schutz unter Einhaltung der Regeln der Verfahrensrichtlinie zu prüfen. Den Akten sind denn auch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Deutschland seien derart schlecht, dass sie zu einer Verletzung von Art. 4 der EU-Grundrechtecharta, Art. 3 EMRK oder Art. 3 FoK führen könnten. Es liegen keine Hinweise dafür vor, dass die Behandlung seines Asylgesuchs mangelhaft gewesen sein könnte und seine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E.8.5.3.3). Die Überstellung des Beschwerdeführers nach Deutschland führt nicht zu einer Kettenabschiebung, welche gegen das Non-Refoulement-Prinzip verstossen würde, wie es in Art. 33 FK verankert ist (und sich ausserdem aus Art. 4 der EU-Grundrechtecharta, Art. 3 EMRK oder Art. 3 FoK ableiten lässt).</w:t>
      </w:r>
    </w:p>
    <w:p>
      <w:r>
        <w:rPr>
          <w:b/>
        </w:rPr>
        <w:t>E. 4.2.2</w:t>
      </w:r>
    </w:p>
    <w:p>
      <w:r>
        <w:t>Was den Gesundheitszustand des Beschwerdeführers betrifft, so bringt dieser zu Recht nicht vor, er sei in Deutschland nicht ausreichend medizinisch versorgt worden. Hinweise, wonach ihm in Zukunft eine adäquate medizinische Behandlung verweigert würde, liegen nicht vor. Im Übrigen trägt das SEM dem aktuellen Gesundheitszustand des Beschwerdeführers bei der Organisation der Überstellung nach Deutschland Rechnung, indem es die deutschen Behörden vor der Überstellung über seinen Zustand und eine allfällige notwendige medizinische Behandlung informiert.</w:t>
      </w:r>
    </w:p>
    <w:p>
      <w:r>
        <w:rPr>
          <w:b/>
        </w:rPr>
        <w:t>E. 4.2.3</w:t>
      </w:r>
    </w:p>
    <w:p>
      <w:r>
        <w:t>Zusammenfassend liegt kein Grund für die Anwendung der Ermessensklausel von Art. 17 Dublin-III-Verordnung beziehungsweise Art. 29a Abs. 3 AsylV 1 vor. Deutschland ist als zuständiger Mitgliedstaat gemäss Art. 18 Abs. 1 Bst. d i.V.m. Art. 25 Abs. 2 Dublin-III-VO verpflichtet, den Beschwerdeführer wiederaufzunehmen.</w:t>
      </w:r>
    </w:p>
    <w:p>
      <w:r>
        <w:rPr>
          <w:b/>
        </w:rPr>
        <w:t>E. 5</w:t>
      </w:r>
    </w:p>
    <w:p>
      <w:r>
        <w:t>Nach dem Gesagten ist die Beschwerde abzuweisen, und mit dem Urteil in der Sache wird das Gesuch um Erteilung der aufschiebenden Wirkung gegenstandslos. Der angeordnete Vollzugsstopp fällt mit vorliegendem Urteil dahin.</w:t>
      </w:r>
    </w:p>
    <w:p>
      <w:r>
        <w:rPr>
          <w:b/>
        </w:rPr>
        <w:t>E. 6</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