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F-5158/2019 vom 7. Oktober 2019</w:t>
      </w:r>
    </w:p>
    <w:p>
      <w:r>
        <w:t>Bundesverwaltungsgericht, 2019-10-07, FR</w:t>
      </w:r>
    </w:p>
    <w:p>
      <w:r>
        <w:rPr>
          <w:b/>
        </w:rPr>
        <w:t xml:space="preserve">Quelle: </w:t>
      </w:r>
      <w:r>
        <w:t>https://mcp.opencaselaw.ch/entscheid/bvger_F-5158_2019</w:t>
      </w:r>
    </w:p>
    <w:p>
      <w:r>
        <w:t>FR: TAF F-5158/2019 du 7 octobre 2019</w:t>
      </w:r>
    </w:p>
    <w:p>
      <w:r>
        <w:t>IT: TAF F-5158/2019 del 7 ottobre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 qui n'est plus représenté en procédure judiciaire - a qualité pour recourir (art. 48 al. 1 PA, applicable par renvoi de l'art. 37 LTAF). Dans ce contexte, on observera que, peu après le dépôt de la demande d'asile une représentation juridique a été attribuée au recourant (cf. procuration du 23 septembre 2019 [pce SEM 16]) qui était présente lors de son audition du 27 septembre 2019 (cf. pce SEM 18). Cela étant, en vertu de l'art. 102h LAsi, la représentation juridique est assurée jusqu'à l'entrée en force de la décision de procédure Dublin, ou jusqu'à ce qu'il soit décidé de mener une procédure étendue (alinéa 3). Elle prend fin lorsque le représentant juridique communique au requérant qu'il n'est pas disposé à déposer un recours parce que celui-ci serait voué à l'échec (alinéa 4). Or, dans la présente affaire, la décision attaquée a valablement été notifiée à la représentation juridique du recourant (cf. avis de réception du 2 octobre 2019 [pce SEM 31]). Dès lors que l'acte de recours a été déposé par le recourant lui-même sans mention de sa représentation juridique et que cette dernière ne s'est plus manifestée depuis lors, il y a lieu de conclure qu'elle a pris fin sur la base de l'art. 102h précité.</w:t>
      </w:r>
    </w:p>
    <w:p>
      <w:r>
        <w:rPr>
          <w:b/>
        </w:rPr>
        <w:t>E. 1.3</w:t>
      </w:r>
    </w:p>
    <w:p>
      <w:r>
        <w:t>Par ailleurs, le recours a été déposé dans la forme et le délai prescrits par la loi, de sorte qu'il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al. 1 let. b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4</w:t>
      </w:r>
    </w:p>
    <w:p>
      <w:r>
        <w:t>En l'occurrence, les investigations entreprises par le SEM ont révélé, après consultation de l'unité centrale du système européen « Eurodac », que le recourant avait déposé une demande d'asile en Autriche le 3 novembre 2015. En date du 27 septembre 2019, cet office a dès lors soumis aux autorités autrichiennes compétentes une demande de reprise en charge, dans les délais fixés à l'art. 23 par. 2 du règlement Dublin III. Les autorités autrichiennes ayant expressément accepté de reprendre en charge l'intéressé, le 30 septembre 2019, elles ont reconnu leur compétence pour traiter de sa demande d'asile. Ce point n'est pas contesté.</w:t>
      </w:r>
    </w:p>
    <w:p>
      <w:r>
        <w:rPr>
          <w:b/>
        </w:rPr>
        <w:t>E. 5.1</w:t>
      </w:r>
    </w:p>
    <w:p>
      <w:r>
        <w:t>Le recourant s'oppose toutefois à la décision du SEM du 2 octobre 2019, en inférant que l'Autriche souhaiterait exécuter son renvoi vers l'Irak et n'aurait pas instruit son dossier de façon complète. En effet, il allègue que l'Autriche aurait déjà statué à six reprises négativement sur sa demande d'asile.</w:t>
      </w:r>
    </w:p>
    <w:p>
      <w:r>
        <w:rPr>
          <w:b/>
        </w:rPr>
        <w:t>E. 5.2</w:t>
      </w:r>
    </w:p>
    <w:p>
      <w:r>
        <w:t>Le Tribunal relève qu'il n'y a aucune sérieuse raison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(cf. art. 3 par. 2 2ème phrase du règlement Dublin III).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En l'espèce, aucun indice sérieux n'indique que les autorités autrichiennes compétentes auraient violé le droit de l'intéressé à l'examen, selon une procédure juste et équitable, de sa demande de protection ou auraient refusé de lui garantir une protection conforme au droit international et au droit européen. Au contraire, les autorités autrichiennes ont expressément accepté de reprendre en charge l'intéressé en tant que demandeur dont la demande est en cours d'examen au sens de l'art. 18 al. 1 par. b du règlement Dublin III, alors même que les autorités suisses avait formulé une requête de reprise en charge au sens de l'art. 18 al. 1 par. d dudit règlement. En sus, le recourant n'a fourni aucun élément concret susceptible d'établir que les autorités autrichiennes refuseraient de le reprendre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(cf. arrêt du TAF F-4512/2019 du 9 septembre 2019 consid. 5.1 et jurisprudence citée). Dans ce contexte, on précisera que, même si les autorités autrichiennes devaient avoir prononcé une décision de renvoi à l'encontre du recourant - ce qui ne semble pas être le cas sur le vu des pièces au dossier (cf. réponse des autorités autrichiennes du 30 septembre 2019 [pce SEM 25]) - cette circonstance ne remettrait pas en cause la compétence de ce pays pour traiter la demande d'asile de l'intéressé. En effet, selon l'art. 18 al. 1 let. d du règlement Dublin III, l'Etat membre responsable est tenu de reprendre en charge le ressortissant de pays tiers dont la demande a été rejetée. Or on ne discerne aucun motif suffisamment pertinent pour faire obstacle à l'application de cette disposition in casu.</w:t>
      </w:r>
    </w:p>
    <w:p>
      <w:r>
        <w:rPr>
          <w:b/>
        </w:rPr>
        <w:t>E. 5.3</w:t>
      </w:r>
    </w:p>
    <w:p>
      <w:r>
        <w:t>En outre, le recourant n'a pas démontré, ni même rendu vraisemblable, que ses conditions d'existence en Autriche revêtiraient un tel degré de pénibilité et de gravité qu'elles seraient constitutives d'un traitement contraire à l'art. 3 CEDH. L'intéressé n'a pas non plus apporté d'indices objectifs, concrets et personnels révélant que son transfert dans ce pays lui ferait effectivement courir le risque que ses besoins existentiels minimaux ne seraient pas satisfaits et, ce, de manière durable, sans perspective d'amélioration, au point qu'il faudrait renoncer à un tel transfert. En particulier, durant l'entretien individuel Dublin du 27 septembre 2019, le recourant a déclaré être prêt à retourner en Autriche s'il y recevait l'asile et n'a invoqué aucune raison d'ordre médical qui s'opposerait à son transfert. Quant aux problèmes psychiques (peurs ; difficulté à dormir) mentionnés lors de l'entretien, il ne s'agit là nullement de problèmes de santé de nature à remettre en cause son transfert vers l'Autriche. De plus, durant l'entretien susmentionné, l'intéressé a indiqué qu'il ne prenait pas de médicament et qu'il ne s'était pas rendu à l'infirmerie depuis son arrivée, deux semaines auparavant. En tout état de cause, l'Autriche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(art. 19 par. 1 et 2 de ladite directive). Si le recourant devait être contraint par les circonstances à mener en Autriche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autrichiennes en usant des voies de droit adéquates (art. 26 de la directive Accueil). Il convient encore de rappeler que le règlement Dublin III ne confère pas aux demandeurs d'asile le droit de choisir l'Etat membre offrant, à leur avis, les meilleures conditions d'accueil comme Etat responsable de l'examen de leur demande d'asile (ATAF 2010/45 consid. 8.3).</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C'est donc à juste titre que le SEM n'est pas entré en matière sur la demande de protection de l'intéressé, en application de l'art. 31a al. 1 let. b LAsi, et qu'il a prononcé son transfert de Suisse vers l'Autriche, conformément à l'art. 44 LAsi, aucune exception à la règle générale du renvoi n'étant réalisée (art. 32 OA 1). L'Autriche demeure dès lors l'Etat responsable de l'examen de la demande d'asile du recourant au sens du règlement Dublin III et est tenue - en vertu de l'art. 18 al. 1 let. b dudit règlement - de le reprendre en charge, dans les conditions prévues aux art. 23, 24, 25 et 29.</w:t>
      </w:r>
    </w:p>
    <w:p>
      <w:r>
        <w:rPr>
          <w:b/>
        </w:rPr>
        <w:t>E. 8</w:t>
      </w:r>
    </w:p>
    <w:p>
      <w:r>
        <w:t>Au vu de ce qui précède,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