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F-5156/2015 vom 16. Januar 2017</w:t>
      </w:r>
    </w:p>
    <w:p>
      <w:r>
        <w:t>Bundesverwaltungsgericht, 2017-01-16, DE</w:t>
      </w:r>
    </w:p>
    <w:p>
      <w:r>
        <w:rPr>
          <w:b/>
        </w:rPr>
        <w:t xml:space="preserve">Quelle: </w:t>
      </w:r>
      <w:r>
        <w:t>https://mcp.opencaselaw.ch/entscheid/bvger_F-5156_2015</w:t>
      </w:r>
    </w:p>
    <w:p>
      <w:r>
        <w:t>FR: TAF F-5156/2015 du 16 janvier 2017</w:t>
      </w:r>
    </w:p>
    <w:p>
      <w:r>
        <w:t>IT: TAF F-5156/2015 del 16 gennaio 2017</w:t>
      </w:r>
    </w:p>
    <w:p>
      <w:pPr>
        <w:pStyle w:val="Heading2"/>
      </w:pPr>
      <w:r>
        <w:t>Regeste</w:t>
      </w:r>
    </w:p>
    <w:p>
      <w:r>
        <w:t>Zuweisung der Asylsuchenden an die Kantone</w:t>
      </w:r>
    </w:p>
    <w:p>
      <w:pPr>
        <w:pStyle w:val="Heading2"/>
      </w:pPr>
      <w:r>
        <w:t>Erwägungen</w:t>
      </w:r>
    </w:p>
    <w:p>
      <w:r>
        <w:rPr>
          <w:b/>
        </w:rPr>
        <w:t>E. 1.1</w:t>
      </w:r>
    </w:p>
    <w:p>
      <w:r>
        <w:t>Anfechtungsobjekt bildet eine Verfügung der SEM, mit der einer vorläufig aufgenommener Person der Kantonswechsel verweigert wird. Solche Verfügungen unterliegen der Beschwerde an das Bundesverwaltungsgericht (Art. 112 AuG [SR 142.20] i.V.m. Art. 31 ff. VGG).</w:t>
      </w:r>
    </w:p>
    <w:p>
      <w:r>
        <w:rPr>
          <w:b/>
        </w:rPr>
        <w:t>E. 1.2</w:t>
      </w:r>
    </w:p>
    <w:p>
      <w:r>
        <w:t>Das Verfahren vor dem Bundesverwaltungsgericht richtet sich nach dem VwVG, soweit das VGG nichts anderes bestimmt (Art. 37 VGG, vgl. auch Art. 2 Abs. 4 VwVG).</w:t>
      </w:r>
    </w:p>
    <w:p>
      <w:r>
        <w:rPr>
          <w:b/>
        </w:rPr>
        <w:t>E. 1.3</w:t>
      </w:r>
    </w:p>
    <w:p>
      <w:r>
        <w:t>Eine Verweigerung des Kantonswechsels kann gemäss Art. 85 Abs. 4 AuG [SR 142.20] nur mit der Begründung angefochtene werden, sie verletze den Grundsatz der Einheit der Familie.</w:t>
      </w:r>
    </w:p>
    <w:p>
      <w:r>
        <w:rPr>
          <w:b/>
        </w:rPr>
        <w:t>E. 1.4</w:t>
      </w:r>
    </w:p>
    <w:p>
      <w:r>
        <w:t>Die Beschwerdeführenden sind zur Erhebung des Rechtsmittels legitimiert (Art. 48 Abs. 1 VwVG). Auf die im Übrigen frist- und formgerecht eingereichte Beschwerde ist einzutreten.</w:t>
      </w:r>
    </w:p>
    <w:p>
      <w:r>
        <w:rPr>
          <w:b/>
        </w:rPr>
        <w:t>E. 2.1</w:t>
      </w:r>
    </w:p>
    <w:p>
      <w:r>
        <w:t>Gemäss Art. 27 Abs. 3 AsylG (SR 142.31) weist das SEM die Asylsuchenden den Kantonen zu und trägt dabei den schützenswerten Interessen der Kantone und der Betroffenen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2.2</w:t>
      </w:r>
    </w:p>
    <w:p>
      <w:r>
        <w:t>Eine nachträgliche Änderung des Zuweisungsentscheids, der sog. Kantonswechsel, wird vom SEM nur bei Zustimmung beider beteiligter Kantone, bei Anspruch auf Einheit der Familie oder bei schwerwiegender Gefährdung der asylsuchenden oder anderer Personen verfügt (Art. 22 Abs. 2 AsylV 1).</w:t>
      </w:r>
    </w:p>
    <w:p>
      <w:r>
        <w:rPr>
          <w:b/>
        </w:rPr>
        <w:t>E. 2.3</w:t>
      </w:r>
    </w:p>
    <w:p>
      <w:r>
        <w:t>Entscheide über die Zuweisung der asylsuchenden Person an einen Kanton oder über den Kantonswechsel können gemäss Art. 27 Abs. 3 AsylG nur mit der Begründung angefochten werden, sie verletzten den Grundsatz der Einheit der Familie. Formelle Rügen sind insoweit zulässig, als sie im Zusammenhang mit der Frage des Grundsatzes der Einheit der Familie stehen (BVGE 2008/47 E. 1.3).</w:t>
      </w:r>
    </w:p>
    <w:p>
      <w:r>
        <w:rPr>
          <w:b/>
        </w:rPr>
        <w:t>E. 2.4</w:t>
      </w:r>
    </w:p>
    <w:p>
      <w:r>
        <w:t>Kraft inhaltlich parallel ausgestalteter Anordnung bzw. kraft eines Verweises auf das Asylgesetz und seine Vollziehungsverordnungen gilt das Gesagte sinngemäss für vorläufig aufgenommene Personen (vgl. Art. 85 Abs. 2, 3 und 4 AuG, Art. 21 der Verordnung vom 11. August 1999 über den Vollzug der Weg- und Ausweisung von ausländischen Personen [VVWA, SR 142.281]. Vorbehalten sind vorläufig aufgenommene Flüchtlinge, die im gleichen Umfang einen Anspruch auf Kantonswechsel haben, wie er einer niedergelassenen Person gestützt auf Art. 37 Abs. 3 AuG zusteht (BVGE 2012/2).</w:t>
      </w:r>
    </w:p>
    <w:p>
      <w:r>
        <w:rPr>
          <w:b/>
        </w:rPr>
        <w:t>E. 3</w:t>
      </w:r>
    </w:p>
    <w:p>
      <w:r>
        <w:t>Die Beschwerdeführerin beanstandet in formeller Hinsicht, die Vorinstanz habe ihre Stellungnahme vom 21. Juli 2015 nicht "konkret" berücksichtigt und somit ihren Anspruch auf rechtliches Gehör schwerwiegend verletzt.</w:t>
      </w:r>
    </w:p>
    <w:p>
      <w:r>
        <w:rPr>
          <w:b/>
        </w:rPr>
        <w:t>E. 3.1</w:t>
      </w:r>
    </w:p>
    <w:p>
      <w:r>
        <w:t>Weiter oben wurde ausgeführt, dass im Rahmen des vorliegenden Rechtsmittelverfahrens formelle Rügen nur soweit vorgebracht werden können, als sie im Zusammenhang mit der Frage des Grundsatzes der Einheit der Familie stehen. Diese Voraussetzung ist im vorliegenden Fall im Wesentlichen erfüllt, denn die nach Auffassung der Beschwerdeführenden nicht hinreichend berücksichtigten Vorbringen betrafen unter anderem den Begriff des Ordre public, der aus der Sicht der Beschwerdeführenden der Anerkennung eines rechtlich geschützten Familienlebens zwischen der Beschwerdeführerin, deren Kinder und E.O._______ im Wege steht, und das Kindeswohl, das aus der Sicht der Beschwerdeführenden eine Wiederherstellung der Familieneinheit mit dem leiblichen Vater verlangt.</w:t>
      </w:r>
    </w:p>
    <w:p>
      <w:r>
        <w:rPr>
          <w:b/>
        </w:rPr>
        <w:t>E. 3.2</w:t>
      </w:r>
    </w:p>
    <w:p>
      <w:r>
        <w:t>Ein zentrales Element des Anspruchs auf rechtliches Gehör bildet das Recht der Partei, vor Erlass einer belastenden Verfügung zur Sache angehört zu werden (Art. 30 Abs. 1 VwVG). Daraus folgt die Pflicht der Behörde, alle form- und fristgerecht eingebrachten Vorbringen einer Partei, die zur Sache gehören und zu deren Klärung beitragen können, zu prüfen, zu würdigen und bei der Entscheidfindung zu berücksichtigen (Prüfungs- und Berücksichtigungspflicht; vgl. Waldmann/Bickel, in: Waldmann/Weissenberger [Hrsg.], Praxiskommentar VwVG, 2. Aufl. 2016, N. 80 ff. zu Art. 29, N. 3 ff. zu Art. 30 und N. 7 ff. zu Art. 32; Kölz/Häner/Bertschi, Verwaltungsverfahren und Verwaltungsrechtspflege des Bundes, 3. Aufl. 2013, N. 214 ff. u. N. 546 f.). In einer engen Verbindung zur Prüfungs- und Berücksichtigungspflicht steht die Begründungspflicht (Art. 35 VwVG). Denn erst aus der Begründung wird ersichtlich, ob ein Vorbringen berücksichtigt wurde (vgl. Waldmann/Bickel, a.a.O., N. 21 zu Art. 32).</w:t>
      </w:r>
    </w:p>
    <w:p>
      <w:r>
        <w:rPr>
          <w:b/>
        </w:rPr>
        <w:t>E. 3.3</w:t>
      </w:r>
    </w:p>
    <w:p>
      <w:r>
        <w:t>Die Begründung einer Verfügung muss so abgefasst sein, dass der Betroffene die Verfügung sachgerecht anfechten kann. Dies ist nur möglich, wenn sowohl er als auch die Rechtsmittelinstanz sich über die Tragweite des Entscheids ein Bild machen können. In diesem Sinn müssen wenigstens kurz die Überlegungen genannt werden, von denen sich die Behörde leiten liess und auf die sie ihren Entscheid stützt. Das bedeutet allerdings nicht, dass sich die Behörde ausdrücklich mit jeder tatbeständlichen Behauptung und jedem rechtlichen Einwand auseinanderzusetzen hätte. Vielmehr kann sie sich auf die für den Entscheid wesentlichen Gesichtspunkte beschränken. Die Behörde hat demnach in der Begründung ihres Entscheides diejenigen Argumente aufzuführen, die diesem tatsächlich zugrunde liegen (BGE 138 I 232 E. 5.1 mit Hinweisen; BVGE 2009/35 E. 6.4.1 mit Hinweisen).</w:t>
      </w:r>
    </w:p>
    <w:p>
      <w:r>
        <w:rPr>
          <w:b/>
        </w:rPr>
        <w:t>E. 3.4</w:t>
      </w:r>
    </w:p>
    <w:p>
      <w:r>
        <w:t>Was genau die Vorinstanz in Verletzung des rechtlichen Gehörs nicht hinreichend "konkret" berücksichtigte, wie sich die Beschwerdeführerin ausdrückt, erschliesst sich weder aus ihren Vorbringen noch der angefochtenen Verfügung oder den Akten. Der Begründung der angefochtenen Verfügung kann durchaus entnommen werden, von welchen Erwägungen sich die Vorinstanz leiten liess. Dabei geht die Vorinstanz teils explizit auf Parteivorbringen ein, teils ergibt sich die Würdigung der Parteivorbringen implizit aus den Rechtsstandpunkten, die von der Vorinstanz in der Begründung ausgebreitet werden. Schliesslich bleibt darauf hinzuweisen, dass sich die Beschwerdeführerin in ihrer Stellungnahme vom 21. Juli 2015 teilweise so wenig konkret äusserte, dass ein tatsächliches Eingehen nicht erwartet werden konnte. Die Beschwerdeführerin war jedenfalls durchaus in der Lage, zu erkennen, weshalb ihren Vorbringen kein Erfolg beschieden war, und den Entscheid sachgerecht anzufechten. Die Rüge einer Verletzung des rechtlichen Gehörs ist daher unbegründet.</w:t>
      </w:r>
    </w:p>
    <w:p>
      <w:r>
        <w:rPr>
          <w:b/>
        </w:rPr>
        <w:t>E. 4</w:t>
      </w:r>
    </w:p>
    <w:p>
      <w:r>
        <w:t>Die Beschwerdeführerin beanstandet in materieller Hinsicht, die Verweigerung des Kantonswechsels stelle eine Verletzung des Grundsatzes der Einheit der Familie dar. In diesem Umfang sind ihre Rügen zulässig. Darauf ist nachfolgend einzugehen. Soweit die Beschwerdeführerin jedoch rügt, die angefochtene Verfügung verletzte anderes Recht (namentlich das Gleichbehandlungsgebot, das Diskriminierungsverbot, die Religionsfreiheit), kann sie als Folge der Beschränkung zulässiger Beschwerdegründe auf die Verletzung der Familieneinheit nicht gehört werden (vgl. oben E. 2).</w:t>
      </w:r>
    </w:p>
    <w:p>
      <w:r>
        <w:rPr>
          <w:b/>
        </w:rPr>
        <w:t>E. 5.1</w:t>
      </w:r>
    </w:p>
    <w:p>
      <w:r>
        <w:t>In tatsächlicher Hinsicht steht fest, dass E.O._______ der biologische Vater der Kinder der Beschwerdeführerin ist, den in der Schweiz geborenen Sohn bereits anerkannt hat und sich um die Anerkennung der beiden älteren, in Syrien geboren Töchter bemüht. Zusammen mit seiner offiziellen Ehefrau, der Beschwerdeführerin und den Kindern bewohnte er in Syrien ein grosses Haus, wobei seine offizielle Ehefrau und deren Kinder sowie die Beschwerdeführerin und ihre Kinder jeweils "eigene Wände" hatten, wie sie sich ausdrückten. Diese Lebensgemeinschaft wurde mit der Flucht der Betroffenen aufgegeben. E.O._______, seine offizielle Ehefrau und die gemeinsamen Kinder leben im Kanton W._______, während die Beschwerdeführerin und ihre Kinder im Kanton V._______ wohnen. Eine Besonderheit der vorliegenden Streitsache besteht darin, dass E.O._______, seine offizielle Ehefrau und die gemeinsamen Kinder der jesidischen Religionsgemeinschaft angehören, während die Beschwerdeführerin und deren Kinder sunnitische Moslems sind. Es wird nun geltend gemacht, dass E.O._______ und die Beschwerdeführerin keine Ehe im Rechtssinne hätten eingehen können, da er der jesidischen Glaubensgemeinschaft angehöre, während sie sunnitische Muslimin sei. Er hätte vorgängig zum Islam konvertieren müssen, was er nicht habe tun wollen. Die Beschwerdeführerin sei zwar bereit gewesen, den jesidischen Glauben anzunehmen, man habe ihr diesen Schritt jedoch nicht gestattet. So seien sie nach Brauch durch einen jesidischen Würdenträger getraut worden.</w:t>
      </w:r>
    </w:p>
    <w:p>
      <w:r>
        <w:rPr>
          <w:b/>
        </w:rPr>
        <w:t>E. 5.2</w:t>
      </w:r>
    </w:p>
    <w:p>
      <w:r>
        <w:t>Nach dem syrischen Eherecht, das für alle Syrer mit Ausnahme der drusischen, christlichen und jüdischen Religionsgemeinschaften gilt, kann ein Mann mit richterlicher Genehmigung bis zu vier Frauen haben, sofern er wirtschaftlich in der Lage ist, ihnen Unterhalt zu geben (vgl. Art. 17, 37 und 306 ff. des syrischen Dekret-Gesetzes über das Personalstatut Nr. 59 vom 17.09.1953, teilweise abgedruckt in Bergmann/Ferid/Henrich, Internationales Ehe- und Kindschaftsrecht, Syrien, Stand: 31.12.1993). Allerdings gilt im Islam der Grundsatz der asymmetrischen Endogamie. Das bedeutet, dass ein Muslim wohl eine Nichtmuslimin heiraten kann, jedenfalls wenn sie einer vom Islam anerkannten Buchreligion ( - d.h. Christentum und Judentum) angehört, umgekehrt jedoch der Eheschluss einer Muslimin mit einem Nichtmuslim ausgeschlossen ist (Mathias Rohe, Das islamische Recht - Geschichte und Gegenwart, 3. Aufl. 2011, S. 82 f., 210). Dieser Grundsatz fand Eingang in das syrische Eherecht, das in Art. 48 Abs. 2 des Dekret-Gesetzes über das Personalstatut Nr. 59 vom 17.09.1953 die Eheschliessung zwischen einer Muslimin und einem Nichtmuslim für nichtig, d.h. für absolut unwirksam ( ) erklärt. Es ist somit glaubhaft, dass der Beschwerdeführerin als Muslimin und E.O._______ als Nichtmuslim das Eingehen einer Ehe gesetzlich verschlossen war.</w:t>
      </w:r>
    </w:p>
    <w:p>
      <w:r>
        <w:rPr>
          <w:b/>
        </w:rPr>
        <w:t>E. 5.3</w:t>
      </w:r>
    </w:p>
    <w:p>
      <w:r>
        <w:t>Im Jesidentum, dem E.O._______ angehört, gilt im Gegensatz zum Islam eine strikte Endogamie: Jesiden beiderlei Geschlechts können nur innerhalb der eigenen Religionsgemeinschaft (sheriet) und auch dort nur innerhalb der eigenen Kaste (teriqet) heiraten, wobei zu bemerken ist, dass es keine Möglichkeit gibt, zum Jesidentum zu konvertieren. Als Jeside wird man nach jesidischer Glaubensüberzeugung ausschliesslich durch Geburt. Ein Jeside, der die strikte Endogamieregel verletzt, wird aus der Glaubensgemeinschaft ausgeschlossen, was mit dem Ausschluss aus der Familie und der Gemeinschaft einhergeht und faktisch den sozialen Tod des Betroffenen zur Folge haben kann (vgl. etwa Alexandra Geiser, Irak: Heiratsregeln der Yeziden, Auskunft der SFH-Länderanalyse, 21. Mai 2013, S. 3; ferner Seite "Jesiden". In: Wikipedia, Die freie Enzyklopädie. Bearbeitungsstand: 12.11.2016, online: https://de.wikipedia.org/w/index.php?title=Jesiden&amp;oldid=159614078, abgerufen am 10.01.2017; Kurzinformation: Yeziden des Religionswissenschaftlichen Medien- und Informationsdienstes e.V., online: http://remid.de/info_yeziden/, abgerufen am 10.01.2017). Aus den dargelegten Gründen kann ausgeschlossen werden, dass E.O._______ und die Beschwerdeführerin, wie behauptet, von einem jesidischen Würdenträger nach jesidischem Ritus getraut wurden.</w:t>
      </w:r>
    </w:p>
    <w:p>
      <w:r>
        <w:rPr>
          <w:b/>
        </w:rPr>
        <w:t>E. 5.4</w:t>
      </w:r>
    </w:p>
    <w:p>
      <w:r>
        <w:t>Aufgrund der gesamten Umstände muss daher davon ausgegangen werden, dass zwischen der Beschwerdeführerin und E.O._______ weder eine Ehe im Rechtssinne noch nach Brauch besteht. Ihre Beziehung stellt sich als eine ausserhalb des Rechts und der religiösen Tradition stehende faktische eheähnliche Gemeinschaft dar. Diese Schlussfolgerung entspricht im Übrigen den Aussagen der Beschwerdeführerin im Rahmen ihrer Anhörung nach Art. 29 Abs. 1 AsylG. Dort sprach sie zwar von einer "Ehe", sie verneinte jedoch ausdrücklich, dass sie mit E.O._______ offiziell oder in irgendeiner Weise religiös getraut worden sei. Ferner gab sie zu Protokoll, dass ihre Beziehung zu E.O._______, einem "Zaraduscht", weder von ihren eigenen (muslimischen) Eltern noch von den (jesidischen) Eltern E.O._______s akzeptiert worden sei. Insbesondere ihre Schwiegermutter, eine sehr religiöse Frau, habe sie, eine Muslimin, nicht akzeptieren wollen (SEM act. A49/2, Antworten auf Fragen 10 und 11). Die Frage der Anerkennung, verstanden als die Wirkungsübernahme einer im Ausland gültig geschlossenen Ehe (vgl. Art. 45 Abs. 1 IPRG [SR 291]), stellt sich unter den gegebenen Umständen zum vornherein nicht.</w:t>
      </w:r>
    </w:p>
    <w:p>
      <w:r>
        <w:rPr>
          <w:b/>
        </w:rPr>
        <w:t>E. 6.1</w:t>
      </w:r>
    </w:p>
    <w:p>
      <w:r>
        <w:t>Die Familieneinheit vorläufig aufgenommener Personen im Rahmen ihrer Zuweisung an einen Kanton wird durch Art. 85 Abs. 2 AuG in Verbindung mit Art. 27 Abs. 3 AsylG, Art. 85 Abs. 4 AuG und Art. 21 VVWA in Verbindung mit Art. 22 Abs. 2 AsylV 1 gewährleistet. Der Schutz der Familieneinheit orientiert sich inhaltlich an der konventionsrechtlichen Garantie der Achtung des Familienlebens (Art. 8 EMRK) und erfasst in erster Linie die Kernfamilie, verstanden als das Verhältnis zwischen den Ehegatten sowie das Verhältnis zwischen den Eltern und ihren unmündigen Kindern. Den Ehegatten gleichgestellt sind eingetragene Partnerinnen und Partner sowie die in dauernder eheähnlicher Gemeinschaft zusammenlebenden Personen (vgl. Art. 1a Bst. e AsylV 1). Sofern bestimmte weitere Voraussetzungen erfüllt sind, insbesondere ein eigentliches Abhängigkeitsverhältnis zwischen den beteiligten Personen besteht, können auch über diesen engen Kreis hinausgehende verwandtschaftliche Bande unter den Schutz der Familieneinheit fallen. In Bezug auf die Ehe, die eingetragene Partnerschaft und die eheähnliche Gemeinschaft geht das Bundesverwaltungsgericht zusammen mit der Vorinstanz davon aus, dass grundsätzlich nur auf Dauer angelegte, umfassende Lebensgemeinschaften zweier Personen mit Ausschliesslichkeitscharakter unter den Schutz der Familieneinheit fallen (vgl. BGE 138 III 97 E. 2.3.3). Das heisst, dass der Grundsatz der Einheit der Familie von einer Person nur im Verhältnis zu genau einer anderen Person geltend gemacht werden kann. Bigame und polygame Beziehungen sind nach Auffassung des Bundesverwaltungsgerichts nicht erfasst (vgl. auch Urteil des französischen Conseil d'État vom 02.10.1996, Préfet du Calvados, ECLI:FR:CESSR: 1996:156257. 19961002).</w:t>
      </w:r>
    </w:p>
    <w:p>
      <w:r>
        <w:rPr>
          <w:b/>
        </w:rPr>
        <w:t>E. 6.2</w:t>
      </w:r>
    </w:p>
    <w:p>
      <w:r>
        <w:t>Der Partner der Beschwerdeführerin, E.O._______, bildet bereits mit seiner offiziellen Ehefrau (und den gemeinsamen Kindern) eine intakte Familiengemeinschaft und wohnt mit ihnen zusammen in einem gemeinsamen Haushalt im Kanton W._______. Weder die Beschwerdeführerin noch er können sich daher hinsichtlich der zwischen ihnen bestehenden (eheähnlichen) Beziehung auf den Grundsatz der Einheit der Familie berufen. Dass im Ausland gültig eingegangenen polygamen Ehen gewisse Wirkungen zuerkannt werden, vermag an dieser Feststellung offensichtlich nichts zu ändern: Zum einen liegt in casu gerade keine im Ausland gültig eingegangene polygame Ehe vor. Darauf wurde bereits hingewiesen. Zum anderen geht die herrschende Lehre davon aus, dass im Ausland gültig eingegangene polygame Ehen wegen Verstosses gegen den schweizerischen Ordre public grundsätzlich nicht anerkennungsfähig sind. Mit Rücksicht auf das Schutzbedürfnis der beteiligten Ehefrauen (und Kinder) und im Sinne einer Ausnahme werden einer polygamen Ehe punktuell gleichwohl Rechtswirkungen zugebilligt. Im Wesentlichen geht es dabei um die Bereiche des Unterhaltsrechts, des Erbrechts und des Sozialversicherungsrechts. Ein Anspruch auf Regelung des Aufenthalts ist damit jedoch nicht verbunden (vgl. dazu BVGE 2012/5 E. 4.5.3 und 4.5.4 m. H.; ferner Büchler/Fink, Islamisches Eheschliessungs- und Scheidungsrecht im Kontext des Internationalen Privatrechts der Schweiz, in: Jahrbuch für Migrationsrecht 2012/2013, 2013, S. 163 ff.; Büchler/Fink, Eheschliessungen im Ausland - Die Grenzen ihrer Anerkennung in der Schweiz am Beispiel von Ehen islamischer Prägung, in: FamPra.ch 1/2008, S. 56 ff.; Mathias Rohe, a.a.O., S. 361 f. für die analoge Situation in Deutschland).</w:t>
      </w:r>
    </w:p>
    <w:p>
      <w:r>
        <w:rPr>
          <w:b/>
        </w:rPr>
        <w:t>E. 6.3</w:t>
      </w:r>
    </w:p>
    <w:p>
      <w:r>
        <w:t>Anders stellt sich die Situation hinsichtlich der Beziehung zwischen E.O._______ und seinen Kindern aus der Verbindung mit der Beschwerdeführerin. Diese Beziehung fällt ohne jeden Zweifel unter den Schutz von Art. 8 EMRK und ist damit auch beim Entscheid über die Kantonszuweisung und den Kantonswechsel von Bedeutung. Allerdings ist darauf hinzuweisen, dass Polygamie als Lebensform im arabischen Kulturraum keineswegs bedeutet, dass die durch mehrere Ehen des Mannes miteinander verbundenen Personen als Grossfamilie in einem gemeinsamen Haushalt zusammenwohnen. Nach der klassischen islamischen Vorstellung ist jede Ehefrau mit eigenem Vermögen und eigenem Haushalt auszustatten, oft an einem anderen Ort, an dem sie zusammen mit ihren Kindern lebt. Zuweilen untersagen gesetzliche Regelungen Männern, die nicht jeder Frau einen eigenen Haushalt einrichten können, die Polygamie (vgl. auch Art. 67 und 68 des syrischen Dekret-Gesetzes über das Personalstatut Nr. 59 vom 17.09.1953, wonach die Zweitfrau vom Ehemann nur mit Zustimmung der Erstfrau im gleichen Haus untergebracht werden darf und der Ehemann verpflichtet ist, allen seinen Frauen gleichwertige Wohnverhältnisse zu schaffen). Der Ehemann besucht alsdann seine auf verschiedene Haushalte verteilte Familie, wobei er nach der klassischen, sich auf den Koran stützenden Auffassung alle Frauen gleich zu behandeln hat. Ein solche Lebensform nähert sich aus der Sicht der Kinder der Situation nach Scheidung der Eltern an, in der ein ständiges Zusammenleben mit beiden Elternteilen naturgemäss nicht möglich ist.</w:t>
      </w:r>
    </w:p>
    <w:p>
      <w:r>
        <w:rPr>
          <w:b/>
        </w:rPr>
        <w:t>E. 6.4</w:t>
      </w:r>
    </w:p>
    <w:p>
      <w:r>
        <w:t>In casu spricht vieles dafür, dass ein ständiges Zusammenleben in gemeinsamem Haushalt, wie es bei einer Familie üblicherweise der Fall ist, von den Beteiligten nie praktiziert wurde und ursprünglich auch nicht beabsichtigt war. Es wurde bereits darauf hingewiesen, dass die Beteiligten geltend machen, in Syrien hätten die beiden Familien E.O._______s zwar im gleichen Gebäude, aber in jeweils eigenen vier Wänden gewohnt. In der Eingabe vom 31. August 2012 zuhanden des ersten Verfahrens auf Bewilligung des Kantonswechsels äusserte sich E.O._______ dahingehend, dass die Beschwerdeführerin in der Umgebung ihrer Wohngemeinde im Kanton W._______ eine Wohnung erhalten solle (SEM act. A13/1). Seine offizielle Ehefrau drückte sich noch deutlicher aus: Sie fände es gut, wenn die Beschwerdeführerin in der Umgebung der [...] Wohngemeinde wohnen könnte. Den Alltag könne sie sich so besser vorstellen, als wenn alle im gleichen Haus wohnten. So hätte E.O._______ für alle Angehörigen Zeit, und sie, die Ehefrauen, könnten einander wenn nötig sehen, ohne dass sie sich zu nahe kämen (SEM act. A13/2). Von einem angestrebten Zusammenwohnen in einer gemeinsamen Wohnung oder zumindest in unmittelbarer Nähe ist erst vergleichsweise spät die Rede. Im Schreiben der Beschwerdeführerin vom 7. März 2015 werden beide Möglichkeiten gleichranging nebeneinander genannt. Wichtig sei allein, dass sie in der Nähe wohnten und einander ohne Schwierigkeiten sehen könnten (SEM act. B8/1). Erst in der Eingabe des Rechtsvertreters vom 11. März 2015 wird das Zusammenleben in einer grossen Wohnung als Präferenz erster Wahl erwähnt (SEM act. B9/2). Die offizielle Ehefrau des Beschwerdeführers kam bezeichnenderweise nicht mehr zu Wort.</w:t>
      </w:r>
    </w:p>
    <w:p>
      <w:r>
        <w:rPr>
          <w:b/>
        </w:rPr>
        <w:t>E. 6.5</w:t>
      </w:r>
    </w:p>
    <w:p>
      <w:r>
        <w:t>Dass die von den Beteiligten gewählte Lebensform nicht notwendigerweise ein auf Dauer ausgerichtetes Zusammenleben in gemeinsamem Haushalt bedingt, schadet den Interessen der Beschwerdeführerin nicht grundsätzlich. Denn entgegen der Auffassung der Vorinstanz setzt die Berufung auf die Familieneinheit nicht zwingend das Führen eines gemeinsamen Haushalts voraus. Es ist in diesem Zusammenhang auf die bundesgerichtliche Rechtsprechung zum Aufenthaltsrecht des nicht sorge- bzw. obhutsberechtigten ausländischen Elternteils eines in der Schweiz aufenthaltsberechtigten Kindes hinzuweisen, an die anzulehnen es sich in casu aufdrängt. Weil der nicht sorge- bzw. obhutsberechtigte ausländische Elternteil den Kontakt zu seinem Kind von vornherein nur in beschränktem Rahmen pflegen kann, nämlich durch die Ausübung des ihm eingeräumten Besuchsrechts, ist nach der Rechtsprechung des Bundesgerichts in der Regel keine dauernde Anwesenheit im Gastland erforderlich. Unter dem Gesichtspunkt des Anspruchs auf Familienleben nach Art. 8 Ziff. 1 EMRK erachtet es das Bundesgericht grundsätzlich als ausreichend, wenn das Besuchsrecht im Rahmen von Kurzaufenthalten vom Ausland aus ausgeübt werden kann, wobei allenfalls die Modalitäten des Besuchsrechts entsprechend auszugestalten sind. Ein weitergehender Anspruch kann nur in Betracht fallen, wenn in affektiver und wirtschaftlicher Hinsicht eine besonders enge Beziehung zum Kind besteht, diese Beziehung wegen der Distanz zum Herkunftsland der ausländischen Person praktisch nicht aufrechterhalten werden könnte und deren bisheriges Verhalten in der Schweiz zu keinerlei Klagen Anlass gegeben hat (vgl. dazu etwa Urteil des BGer 2C_853/2015 vom 05.04.2016 E. 5.3.1 m.H.). Übertragen auf die vorliegende Konstellation bedeutet dies, dass der Anspruch auf Familieneinheit durch die Zuweisung in verschiedene Aufenthaltskantone nur berührt ist, wenn E.O._______ ein besonders enges Verhältnis zu den Kindern aus seiner Beziehung zur Beschwerdeführerin unterhält und ein angemessener Kontakt aufgrund der Distanz der Wohnorte nicht aufrechterhalten werden kann. Vorbehalten bleiben legitime öffentliche Interessen.</w:t>
      </w:r>
    </w:p>
    <w:p>
      <w:r>
        <w:rPr>
          <w:b/>
        </w:rPr>
        <w:t>E. 6.6</w:t>
      </w:r>
    </w:p>
    <w:p>
      <w:r>
        <w:t>Das Bundesverwaltungsgericht hegt keinen Zweifel daran, dass das Verhältnis E.O._______s zu seinen Kindern aus der Beziehung zur Beschwerdeführerin emotional sehr innig ist und dass er auch in wirtschaftlicher Hinsicht das ihm Mögliche auf sich nimmt. Gemäss unwidersprochener Darstellung der Beschwerdeführerin verbringt E.O._______ monatlich zwischen sieben und zehn Tage am Stück im V._______. Daneben habe er täglich telefonischen Kontakt mit seinen Kindern. Was die Angemessenheit der Kontakte angeht, so geht das Bundesverwaltungsgericht mit der Beschwerdeführerin darin einig, dass die räumliche Trennung der Familien eine grosse Belastung für alle Beteiligten darstellt. Zwar beträgt die Reisezeit zwischen den Wohnorten E.O._______s und der Beschwerdeführerin im Kanton W._______ bzw. im V._______ mit öffentlichen Verkehrsmitteln rund 3.5 bis 4 Stunden, was nach Auffassung des Bundesverwaltungsgerichts - gewöhnliche Umstände vorausgesetzt - noch nicht mit einer unzumutbaren Erschwerung des persönlichen Kontakte einhergeht. Die vorliegende Streitsache ist jedoch dadurch gekennzeichnet, dass die Beschwerdeführerin psychisch krank und als solche nur bedingt in der Lage ist, für ihre Kinder zu sorgen. Das erfordert verständlicherweise eine erhöhte Präsenz des Beschwerdeführers im V._______. Dadurch fehlt er jedoch seiner Familie im Kanton W._______, die mit dem Unfalltod des ältesten Sohnes erst vor kurzem einen schweren Schicksalsschlag hinnehmen musste. Schliesslich ist darauf hinzuweisen, dass E.O._______ und die Beschwerdeführerin vorläufig aufgenommen sind und voraussichtlich dauernd in der Schweiz bleiben werden. Ihre erfolgreiche Integration in die schweizerischen Verhältnisse liegt daher im öffentlichen Interesse. Durch die räumliche Trennung der beiden Familien wird die Erreichung dieses Ziels beträchtlich erschwert.</w:t>
      </w:r>
    </w:p>
    <w:p>
      <w:r>
        <w:rPr>
          <w:b/>
        </w:rPr>
        <w:t>E. 6.7</w:t>
      </w:r>
    </w:p>
    <w:p>
      <w:r>
        <w:t>Die ausserordentlichen Umstände der vorliegenden Streitsache lassen das Bundesverwaltungsgericht zum Schluss kommen, dass die Verweigerung des Kantonswechsels einen rechtfertigungsbedürftigen Eingriff in das durch Art. 8 EMRK geschützte Familienleben des Beschwerdeführers und seiner Kinder aus der Beziehung zur Beschwerdeführerin darstellt.</w:t>
      </w:r>
    </w:p>
    <w:p>
      <w:r>
        <w:rPr>
          <w:b/>
        </w:rPr>
        <w:t>E. 7.1</w:t>
      </w:r>
    </w:p>
    <w:p>
      <w:r>
        <w:t>Der Anspruch auf Achtung des Familienlebens gemäss Art. 8 Ziff. 1 EMRK gilt nicht absolut. Vielmehr ist ein Eingriff in das Familienleben nach Massgabe von Art. 8 Ziff. 2 EMRK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sich gegenüberstehenden privaten Interessen an der Bewilligungserteilung und den öffentlichen Interessen an deren Verweigerung, wobei Letztere derart überwiegen müssen, dass sich der Eingriff als notwendig erweist (BGE 139 I 145 E. 2.2 m.H.).</w:t>
      </w:r>
    </w:p>
    <w:p>
      <w:r>
        <w:rPr>
          <w:b/>
        </w:rPr>
        <w:t>E. 7.2</w:t>
      </w:r>
    </w:p>
    <w:p>
      <w:r>
        <w:t>Die Vorinstanz bringt zur Rechtfertigung des Eingriffs in das Familienleben der gemeinsamen Kinder der Beschwerdeführerin und E.O._______s vor, dass sie mit einer Bewilligung des Kantonswechsels das Führen einer faktisch bigamen Beziehung unterstützen würde. Das Eingehen einer bigamen Ehe stelle jedoch nicht nur eine Verletzung des Ordre public dar, sondern sei auch zivil- und strafrechtlich verpönt (Urteil des BVGer C-1130/2006 vom 05.04.2007 E. 3.3). Desgleichen stelle das Führen einer bigamen Ehe einen Verstoss gegen den schweizerischen Ordre public dar (Urteile des BGer 2A.364/1999 vom 06.01.2000 E. 5d und 2A.401/2002 vom 31.10.2002 E. 3.2). Auf der anderen Seite sei ein regelmässiger Kontakt zwischen Vater und Kindern durch Besuche im V._______ und tägliche Telefonate bereits zum heutigen Zeitpunkt gewahrt. Ihre Beziehung könne trotz der räumlichen Distanz weitergepflegt werden. Unter den gegebenen Umständen sei das öffentliche Interesse an der Wahrung des Ordre public höher zu gewichten als die Privatinteressen der Kinder.</w:t>
      </w:r>
    </w:p>
    <w:p>
      <w:r>
        <w:rPr>
          <w:b/>
        </w:rPr>
        <w:t>E. 7.3</w:t>
      </w:r>
    </w:p>
    <w:p>
      <w:r>
        <w:t>Die Beschwerdeführerin bestreitet, dass das Zusammenleben mit E.O._______ einen Verstoss gegen den Ordre public darstellen würde. Sie sei nicht Ehefrau E.O._______s, sondern seine Konkubinatspartnerin. Das Zusammenleben zwischen einem Mann, seiner Ehefrau und seiner Konkubinatspartnerin sei in der Schweiz aber nicht verboten. Doch selbst wenn von einer Ordre public-Widrigkeit ausgegangen werden müsste, seien die privaten Interessen der Kinder höher zu gewichten als das öffentliche Interesse. Von regelmässigen Kontakten zwischen Vater und Kindern könne nämlich aktuell keine Rede sein. Die lange Zugreise und die hohe finanzielle Belastung zwängen E.O._______ dazu, seine Besuche im V._______ einzuschränken. Abgesehen davon, dass der Kontakt zwischen Vater und Kindern empfindlich eingeschränkt sei, könne es nicht sein, dass die Kinder für einen Ordre public-Verstoss der Eltern bestraft würden und deswegen auf ein Zusammenleben mit dem biologischen Vater verzichten müssten. Mit der Bewilligung des Kantonswechsels würde die Vorinstanz nicht das Führen einer bigamen Beziehung unterstützten, sondern in erster Linie das Kindeswohl sicherstellen und gewährleisten, dass die Kinder der Beschwerdeführerin ihren leiblichen Vater sehen könnten. Im weiteren Verlauf des Rechtsmittelverfahrens wurde noch die psychische Erkrankung der Beschwerdeführerin sowie der Todesfall in der Erstfamilie E.O._______s angeführt, die beide zu einer Verschärfung der familiären Situation geführt hätten und eine Bewilligung des Kantonswechsels gebieten würden.</w:t>
      </w:r>
    </w:p>
    <w:p>
      <w:r>
        <w:rPr>
          <w:b/>
        </w:rPr>
        <w:t>E. 7.4</w:t>
      </w:r>
    </w:p>
    <w:p>
      <w:r>
        <w:t>Das Prinzip der Monogamie der Ehe zählt entgegen der Auffassung der Beschwerdeführerin nach wie vor zu den fundamentalen Grundsätzen der schweizerischen Rechts- und Werteordnung, was in verschiedener Hinsicht zum Ausdruck kommt: Gemäss Art. 215 StGB ist Polygamie eine Straftat und Art. 105 Ziff. 1 ZGB besagt für Binnensachverhalte, dass eine Ehe unbefristet ungültig ist, wenn zum Zeitpunkt der Eheschliessung einer der Ehegatten bereits verheiratet war (Art. 105 Ziff. 1 StGB). Folgerichtig wird, wie bereits kurz dargelegt wurde, eine im Ausland gültig eigegangene polygame Ehe wegen Ordre public-Widrigkeit grundsätzlich nicht anerkannt (vgl. oben E. 6.2 m.H.). Anzufügen bleibt, dass eine wegen Polygamie nicht anerkannte Ehe auch nicht als eheähnliche Beziehungen Rechtswirkungen entfalten kann (vgl. BVGE 2012/5 E. 4.7). Ähnliches gilt für eine de facto bestehende Polygamie, die ebenfalls als Verletzung des schweizerischen Ordre public gewertet wird, selbst wenn sie nicht unter Strafe gestellt ist (vgl. Urteile des BGer 2C_465/2007 vom 25.01.2008 E. 4.2, 2A.155/2005 vom 11.07.2005 E. 3.2.1 und 2A.401/2002 vom 31.10.2002 E. 3.2). Zusammenfassend steht ausser Frage, dass die Bekämpfung der Polygamie ein legitimes staatliches Ziel darstellt, welche Eingriffe in das geschützte Familienleben grundsätzlich zu rechtfertigen vermag.</w:t>
      </w:r>
    </w:p>
    <w:p>
      <w:r>
        <w:rPr>
          <w:b/>
        </w:rPr>
        <w:t>E. 7.5</w:t>
      </w:r>
    </w:p>
    <w:p>
      <w:r>
        <w:t>Das öffentliche Interesse wiegt jedoch nach Auffassung des Bundesverwaltungsgerichts nicht so schwer, dass es in einer Situation wie der vorliegenden das Interesse der Kinder der Beschwerdeführerin an einem angemessenen familiären Kontakt zum Vater zurückdrängen könnte. Für diese Bewertung sind verschiedene Punkte massgebend. Von Bedeutung ist, dass die faktische Bigamie weniger schwer wiegt als eine Bigamie im Rechtssinne, was sich schon an der fehlenden Strafandrohung zeigt, und dass die Beteiligten diese Lebensform bereits in ihrer Heimat aufgenommen hatten. Hinzu tritt die fragliche Tauglichkeit einer Verweigerung des Kantonswechsels als Instrument zur Durchsetzung des öffentlichen Interesses an einer Bekämpfung der Polygamie. Denn die Massnahme kann ohnehin nicht verhindern, dass die Beteiligten ihre Lebensform weiter führen. Schon jetzt verbringt E.O._______ einen beträchtlichen Teil seiner Zeit bei seiner Zweitfamilie im V._______. Auf der andern Seite trifft die Massnahme in erster Linie die Kinder der Beschwerdeführerin, denen die Lebensform ihrer Eltern nicht zum Vorwurf gemacht werden kann. Das Bundesverwaltungsgericht bezweifelt, dass die Kontaktmöglichkeiten, wie sie bisher genutzt wurden, der aktuellen Situation ausreichend Rechnung tragen, wie sie nach der psychischen Erkrankung der Beschwerdeführerin und dem Tod des ältesten Sohnes E.O._______s entstanden ist. Es ist vielmehr von einer Gefährdung des Kindeswohls auszugehen, dem bei allen Entscheiden, die Kinder betreffen, vorrangige Bedeutung zukommt (vgl. Art. 3 und 9 Abs. 3 des Übereinkommens über die Rechte des Kindes [UNO-Kinderrechtskonvention, KRK, SR. 0.107]; BGE 135 I 153 E. 2.2.2; Urteil des EGMR El Ghatet gegen die Schweiz vom 08.11.2016, Nr. 56971/10, Rz. 46).</w:t>
      </w:r>
    </w:p>
    <w:p>
      <w:r>
        <w:rPr>
          <w:b/>
        </w:rPr>
        <w:t>E. 8</w:t>
      </w:r>
    </w:p>
    <w:p>
      <w:r>
        <w:t>Zusammenfassend ergibt sich, dass die Verweigerung des Kantonswechsels den Grundsatz der Familieneinheit verletzt. Die angefochtene Verfügung ist daher aufzuheben und die Vorinstanz anzuweisen, die Beschwerdeführenden dem Kanton W._______ zuzuweisen.</w:t>
      </w:r>
    </w:p>
    <w:p>
      <w:r>
        <w:rPr>
          <w:b/>
        </w:rPr>
        <w:t>E. 9</w:t>
      </w:r>
    </w:p>
    <w:p>
      <w:r>
        <w:t>Bei diesem Ausgang des Verfahrens sind den Beschwerdeführenden keine Kosten aufzuerlegen (Art. 63 Abs. 1 VwVG). Die Vorinstanz ist gemäss Art. 63 Abs. 2 VwVG von der Kostentragung befreit. Der anwaltschaftlich vertretenen Beschwerdeführerin ist ferner zu Lasten der Vorinstanz für die ihr erwachsenen notwendigen und verhältnismässig hohen Kosten eine angemessene Parteientschädigung zuzusprechen (Art. 64 Abs. 1 VwVG). Diese ist mit Blick auf die Komplexität der Sache, den aktenkundigen Aufwand und die Bemessungskriterien von Art. 7 ff. des Reglements vom 21. Februar 2008 über die Kosten und Entschädigungen vor dem Bundesverwaltungsgericht (VGKE, SR 173.320.2) auf Fr. 2'500.- festzusetzen. Darin eingeschlossen ist der Mehrwertsteuerzuschlag im Sinne von Art. 9 Abs. 1 Bst. c VGKE.</w:t>
      </w:r>
    </w:p>
    <w:p>
      <w:r>
        <w:rPr>
          <w:b/>
        </w:rPr>
        <w:t>E. 10</w:t>
      </w:r>
    </w:p>
    <w:p>
      <w:r>
        <w:t>Dieses Urteil ist endgültig (Art. 83 Bst. c Ziff. 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