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F-5123/2023 vom 27. September 2023</w:t>
      </w:r>
    </w:p>
    <w:p>
      <w:r>
        <w:t>Bundesverwaltungsgericht, 2023-09-27, FR</w:t>
      </w:r>
    </w:p>
    <w:p>
      <w:r>
        <w:rPr>
          <w:b/>
        </w:rPr>
        <w:t xml:space="preserve">Quelle: </w:t>
      </w:r>
      <w:r>
        <w:t>https://mcp.opencaselaw.ch/entscheid/bvger_F-5123_2023</w:t>
      </w:r>
    </w:p>
    <w:p>
      <w:r>
        <w:t>FR: TAF F-5123/2023 du 27 septembre 2023</w:t>
      </w:r>
    </w:p>
    <w:p>
      <w:r>
        <w:t>IT: TAF F-5123/2023 del 27 settembre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 recours a été présenté dans la forme et le délai prescrits par la loi - à savoir le cinquième jour ouvrable suivant la notification de la décision - le recourant disposant en outre de la qualité pour recourir ; il est dès lors recevable (art. 48 al. 1 et 52 al. 1 PA [RS 172.021], applicables par renvoi de l'art. 37 LTAF, et art.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Le processus de détermination de l'Etat responsable est engagé aussitôt qu'une demande de protection internationale a été déposée pour la première fois dans un Etat membre (art. 20 par. 1 RD III). S'il ressort de cet examen qu'un autre Etat est responsable, le SEM rend une décision de non-entrée en matière fondée sur l'art. 31a al. 1 let. b LAsi, après s'être assuré que l'Etat requis a accepté (explicitement ou tacitement) la prise ou la reprise en charge du requérant (cf. ATAF 2017 VI/7 consid. 2.1). Dans une procédure de reprise en charge (anglais : take back) comme en l'espèce, il n'y a en principe aucun nouvel examen de la compétence selon le chapitre III du RD III (cf. ATAF 2019 VI/7 consid. 4-6).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à ce sujet ATAF 2015/9 consid. 8.2).</w:t>
      </w:r>
    </w:p>
    <w:p>
      <w:r>
        <w:rPr>
          <w:b/>
        </w:rPr>
        <w:t>E. 3</w:t>
      </w:r>
    </w:p>
    <w:p>
      <w:r>
        <w:t>En l'occurrence, les investigations entreprises par le SEM en date du 24 août 2023 ont révélé, après consultation de l'unité centrale de système européen Eurodac, que l'intéressé avait déposé une demande d'asile en Roumanie le 18 juillet 2023 (pce SEM 9). En se basant sur ce qui précède et un entretien effectué avec le recourant le 30 août 2023 (pce SEM 14), le SEM a soumis le même jour une demande aux fins de sa reprise en charge aux autorités roumaines, fondée sur l'art. 18 par. 1 let. b RD III (pce SEM 15). Or, celles-ci ont explicitement accepté la demande le 12 septembre 2023, soit dans le délai prévu à l'art. 25 par. 1 RD III (pce SEM 18). Il s'ensuit que la Roumanie est bien, en principe, tenue de reprendre en charge le recourant - ce qui n'est d'ailleurs pas contesté par ce dernier.</w:t>
      </w:r>
    </w:p>
    <w:p>
      <w:r>
        <w:rPr>
          <w:b/>
        </w:rPr>
        <w:t>E. 4.1</w:t>
      </w:r>
    </w:p>
    <w:p>
      <w:r>
        <w:t>Pour s'opposer à son transfert, le recourant plaide avoir subi des mauvais traitements en Roumanie. Après avoir été victimes d'un accident de circulation, ses compagnons de route et lui-même auraient été placés dans une pièce exigüe durant plusieurs jours, où ils n'auraient reçu à boire et à manger que de manière insuffisante. Sans moyens financiers, ils auraient été livrés à eux-mêmes. Le recourant aurait de surcroît été contraint de donner ses empreintes digitales aux autorités roumaines. Il se prévaut enfin de lourds problèmes psychiques endurés depuis la réception de la décision attaquée. Offrant de produire une vidéo de l'accident de voiture susmentionné, le recourant soutient que les violations des droits humains par l'Etat roumain et sa vulnérabilité psychique s'opposeraient à son transfert.</w:t>
      </w:r>
    </w:p>
    <w:p>
      <w:r>
        <w:rPr>
          <w:b/>
        </w:rPr>
        <w:t>E. 4.2</w:t>
      </w:r>
    </w:p>
    <w:p>
      <w:r>
        <w:t>A titre liminaire, il sied de relever que ni le TAF, ni la Cour EDH ou la CJUE n'ont à ce jour retenu l'existence de défaillances systémiques dans la procédure d'asile et les conditions d'accueil en Roumanie, au sens de l'art. 3 par. 2 RD III (cf. arrêts du TAF F-1537/2023 du 31 août 2023 consid. 7 et F-2677/2021 du 14 juin 2021 consid. 5 et les réf. cit.), le recourant n'apportant aucun élément permettant de remettre cette pratique en question. Par ailleurs, la Roumanie est liée à la Charte UE et est partie à la Conv. réfugiés (RS 0.142.30) et à son Protocole additionnel (RS 0.142.031), à la CEDH (RS 0.101), ainsi qu'à la Conv. torture (RS 0.105) et, à ce titre, est tenue d'en appliquer les dispositions. Dans ces conditions, la Roumanie est présumée respecter la sécurité et les droits des demandeurs d'asile.</w:t>
      </w:r>
    </w:p>
    <w:p>
      <w:r>
        <w:rPr>
          <w:b/>
        </w:rPr>
        <w:t>E. 4.3</w:t>
      </w:r>
    </w:p>
    <w:p>
      <w:r>
        <w:t>Sous l'angle de l'art. 17 RD III, le Tribunal relève que les allégations du recourant quant aux mauvais traitements qu'il aurait subis - qui ne sont au demeurant que peu étayées - sont empreintes d'une certaine inconsistance. Il avait en effet déclaré, dans le cadre de son entretien individuel, que le comportement des autorités roumaines ne pouvait pas être qualifié de mauvais (cf. pce SEM 14). Quoiqu'il en soit, il ne parvient de toutes les manières pas à démontrer que, dans son cas concret, les conditions d'existence qui l'attendent en Roumanie sont à ce point mauvaises qu'elles seraient constitutives d'un traitement contraire à l'art. 3 CEDH ou à l'art. 3 de la Conv. torture. L'intéressé allègue encore avoir été obligé de donner ses empreintes digitales. Or, on ne saurait reprocher aux autorités roumaines de l'avoir incité à donner ses empreintes ; ce faisant, elles n'ont fait que leur devoir (art. 9 par. 1 et 14 par. 1 du règlement [UE] n° 603/2013 du Parlement européen et du Conseil du 26 juin 2013 relatif à la création d'Eurodac pour la comparaison des empreintes digitales aux fins de l'application efficace du règlement Dublin III [JO L 180/1 du 29.6.2013]). En outre, les allégations non étayées du recourant, selon lesquelles il aurait été contraint de déposer une demande d'asile en Roumanie, ne sauraient convaincre. Il doit en outre être souligné que le recourant ne pouvait prétendre à bénéficier de prestations du système d'accueil roumain tout en se refusant à y déposer une demande de protection internationale. En ce qui concerne l'aspect médical,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Une telle constellation n'est manifestement pas donnée en l'espèce, les affections psychiques mentionnées par l'intéressé fois dans son recours n'étant nullement établies. Il sied d'ailleurs de souligner que le recourant avait déclaré être en bonne santé dans son entretien individuel (pce SEM 14). Le Tribunal observe enfin que le règlement Dublin III ne confère pas aux personnes en quête de protection le droit de choisir elles-mêmes l'Etat qui examinera leur demande, pas plus qu'il n'impose aux autorités de donner suite au souhait d'un requérant de voir sa demande d'asile examinée dans l'Etat offrant à son avis les meilleures conditions d'accueil (cf. notamment ATAF 2010/45 consid. 8.3). La volonté du recourant de ne pas voir sa demande examinée en Roumanie ne saurait donc être déterminante ici.</w:t>
      </w:r>
    </w:p>
    <w:p>
      <w:r>
        <w:rPr>
          <w:b/>
        </w:rPr>
        <w:t>E. 4.4</w:t>
      </w:r>
    </w:p>
    <w:p>
      <w:r>
        <w:t>Il s'ensuit que le transfert du recourant en Roumanie n'est pas contraire aux obligations de la Suisse relevant du droit international public et que le SEM a procédé à un examen correct des faits allégués par l'intéressé susceptibles de constituer des « raisons humanitaires » au sens de l'art. 29a al. 3 OA 1.</w:t>
      </w:r>
    </w:p>
    <w:p>
      <w:r>
        <w:rPr>
          <w:b/>
        </w:rPr>
        <w:t>E. 5</w:t>
      </w:r>
    </w:p>
    <w:p>
      <w:r>
        <w:t>La Roumanie demeure dès lors l'Etat responsable de l'examen de la demande d'asile du recourant au sens du RD III. C'est ainsi à juste titre que le SEM n'est pas entré en matière sur celle-ci, en application de l'art. 31a al. 1 let. b LAsi, et a prononcé le transfert de l'intéressé vers la Roumanie,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à l'art. 63 al. 1 PA et aux art. 1 à 3 du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