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F-5121/2015 vom 25. Juli 2017</w:t>
      </w:r>
    </w:p>
    <w:p>
      <w:r>
        <w:t>Bundesverwaltungsgericht, 2017-07-25, DE</w:t>
      </w:r>
    </w:p>
    <w:p>
      <w:r>
        <w:rPr>
          <w:b/>
        </w:rPr>
        <w:t xml:space="preserve">Quelle: </w:t>
      </w:r>
      <w:r>
        <w:t>https://mcp.opencaselaw.ch/entscheid/bvger_F-5121_2015</w:t>
      </w:r>
    </w:p>
    <w:p>
      <w:r>
        <w:t>FR: TAF F-5121/2015 du 25 juillet 2017</w:t>
      </w:r>
    </w:p>
    <w:p>
      <w:r>
        <w:t>IT: TAF F-5121/2015 del 25 luglio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Landesrechtliche Grundlage der angefochtenen Verfügung vom 23. Juli 2015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die Dauer von höchstens fünf Jahren verfügt, kann aber für eine längere Dauer angeordnet werden, wenn von der ausländischen Person eine schwerwiegende Gefahr für die öffentliche Sicherheit und Ordnung ausgeht (Art. 67 Abs. 3 zweiter Satz AuG; ferner BVGE 2014/20 E. 5). Schliesslich kann die verfügende Behörde ausnahmsweise aus humanitären oder anderen wichtigen Gründen von der Verhängung eines Einreiseverbots absehen oder ein Einreiseverbot endgültig oder vorübergehend aufheben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in fine m.H.).</w:t>
      </w:r>
    </w:p>
    <w:p>
      <w:r>
        <w:rPr>
          <w:b/>
        </w:rPr>
        <w:t>E. 3.3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Bundesverwaltungsgericht in BVGE 2014/20 zum Schluss, dass alle von der Vor-instanz verhängten Einreiseverbote zwingend zu befristen sind (E. 6.9). Weiter befasste sich das Bundesverwaltungsgericht in diesem Urteil mit der Frage nach der Höchstdauer solcher Einreiseverbote und entschied, dass diese grundsätzlich fünfzehn Jahre beträgt; nur im Wiederholungsfall kann die Dauer zwanzig Jahre betragen (E. 7).</w:t>
      </w:r>
    </w:p>
    <w:p>
      <w:r>
        <w:rPr>
          <w:b/>
        </w:rPr>
        <w:t>E. 3.4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der SIS-II-Verordnung sowie Art. 20-22 der Verordnung über den nationalen Teil des Schengener Informationssystems (N-SIS) und das SIRENE-Büro (N-SIS-Verordnung vom 8. März 2013 [SR 362.0]).</w:t>
      </w:r>
    </w:p>
    <w:p>
      <w:r>
        <w:rPr>
          <w:b/>
        </w:rPr>
        <w:t>E. 4</w:t>
      </w:r>
    </w:p>
    <w:p>
      <w:r>
        <w:t>Gemäss Auszug aus dem Schweizerischen Strafregister vom 5. August 2013 (kant. Akt. 271-273) wurde der Beschwerdeführer letztmals am 5. Juni 2013 durch das Kriminalgericht des Kantons Luzerns wegen mehrfachen Verbrechens nach Art. 19 Abs. 2 Bst. a-c BetmG sowie wegen Übertretung nach Art. 19a BetmG (mehrfache Begehung) zu einer Freiheitsstrafe von 33 Monaten, davon 27 Monate bedingt vollziehbar und einer Probezeit von 3 Jahren, verurteilt. Der unbedingte Teil der Freiheitsstrafe (6 Monate) wurde in Halbgefangenschaft im Zeitraum vom 15. April 2014 bis zum 4. September 2014 vollzogen. Hinzu kommen diverse Verurteilungen durch die Amtsstatthalterämter Luzern und Hochdorf sowie das Verhöramt Nidwalden in den Jahren 2004 bis 2010 u.a. wegen mehrfacher Gehilfenschaft zu Betrug und Urkundenfälschung (3. November 2004), Drohung, Tätlichkeiten und Übertretungen des BetmG (30. Mai 2005), Übertretung des BetmG sowie Fahrens in angetrunkenem Zustand (29. März 2006), Nichtabgabe von Ausweisen und/oder Kontrollschildern (22. Juni 2006), Sachentziehung und Drohung (27. November 2009), Fahrens in fahrunfähigem Zustand, Widerhandlungen gegen das SVG (SR 741.01), Übertretung des BetmG (15. April 2010), einfacher Körperverletzung, geringem Vermögensdelikt, Fahrens in fahrunfähigem Zustand und ohne Führerausweis oder trotz Entzug, Übertretung BetmG (2. September 2010). Weiter geht aus den Akten hervor, dass der Beschwerdeführer seit 1997 insgesamt 25 Mal strafrechtlich zur Rechenschaft gezogen worden ist (dazu gehören auch die Übertretungsstrafdelikte vor der Jugendanwaltschaft). Mit seiner mehrfachen und langjährigen Delinquenz hat der Beschwerdeführer ohne Zweifel gegen die öffentliche Sicherheit und Ordnung verstossen bzw. polizeiliche Schutzgüter gefährdet und damit einen Fernhaltegrund in Sinne von Art. 67 Abs. 2 Bst. a AuG gesetzt. Der Parteivertreter ficht das Einreiseverbot denn auf Beschwerdeebene insoweit an, als es für die Dauer von mehr als fünf Jahren erlassen wurde.</w:t>
      </w:r>
    </w:p>
    <w:p>
      <w:r>
        <w:rPr>
          <w:b/>
        </w:rPr>
        <w:t>E. 5.1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5.2</w:t>
      </w:r>
    </w:p>
    <w:p>
      <w:r>
        <w:t>Die Annahme einer scherwiegenden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Delikts zur besonders schweren Kriminalität mit grenzüberschreitender Dimension ergeben. Zu den letzteren Kriminalbereichen zählen namentlich der Terrorismus, der Menschen- und der Drogenhandel sowie die organisierte Kriminalität. Eine entsprechend qualifizierte Gefährdung kann sich überdies aus einer zunehmend schwereren Delinquenz bei Widerholungstätern mit ungünstiger Legalprognose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erster Satz AuG genannte Regelhöchstdauer von fünf Jahren überschreiten.</w:t>
      </w:r>
    </w:p>
    <w:p>
      <w:r>
        <w:rPr>
          <w:b/>
        </w:rPr>
        <w:t>E. 5.3</w:t>
      </w:r>
    </w:p>
    <w:p>
      <w:r>
        <w:t>Eine Störung der öffentlichen Sicherheit und Ordnung durch Drogendelinquenz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 relevanten Gefahr im Sinne von Art. 67 Abs. 2 Bst. a AuG zugrunde liegt (vgl. etwa Urteil des BVGer F-7607/2015 vom 25. Juli 2016 E. 6.3 m.H.).</w:t>
      </w:r>
    </w:p>
    <w:p>
      <w:r>
        <w:rPr>
          <w:b/>
        </w:rPr>
        <w:t>E. 5.4</w:t>
      </w:r>
    </w:p>
    <w:p>
      <w:r>
        <w:t>Wie in E. 4 bereits aufgelistet und erwähnt, ist der Beschwerdeführer während seiner Anwesenheit hierzulande 25 Mal mit dem Gesetz in Konflikt geraten. Im Vordergrund steht dabei das bereits erwähnte Urteil vom 5. Juni 2013. Diesem Urteil zu Folge hatte der Beschwerdeführer in der Zeit von 2010 bis zum 25. Oktober 2012 - und somit in etwas weniger als 3 Jahren - mit einer Menge von 1'625 Gramm Kokain Handel betrieben und dabei einen Gewinn von Fr. 33'975.- erzielt. Zudem hatte der Beschwerdeführer in dieser Zeit auch selber Marihuana und gelegentlich Kokain konsumiert, wobei die Menge unbekannt ist (vgl. kant. Akt. 235). Damit hat sich der Beschwerdeführer in einem besonders sensiblen Bereich strafbar gemacht. Nebst Gewalt- und Sexualdelikten zählen Verbrechen und Vergehen gegen das Betäubungsmittelgesetz zu diesen Verhaltensweisen, weshalb ein strengerer Massstab gerechtfertigt ist. Überdies dürfen bei Drittstaatangehörigen auch generalpräventive Überlegungen miteinbezogen werden. Es besteht daher ein manifestes Interesse daran, den Betroffenen längerfristig von der Schweiz fernzuhalten. Das Kriminalgericht des Kantons Luzerns stufte das Verschulden des Beschwerdeführers als schwer ein. In seinem Urteil vom 5. Juni 2013 führte es aus, "[...]. Sogar schwer wiegt der Umstand, dass der Beschuldigte selbst aus der Halbgefangenschaft heraus via X._______ noch dem Drogenhandel nachging. Ebenfalls schwer wiegt, dass der Beschuldigte in der Person von X._______ einen Läufer hatte, und diesem teils genaue Anweisungen gab, wem er welche Menge Kokain liefern musste. Zudem verdiente der Beschuldigte in weniger als 3 Jahren Fr. 33'975.-". Positiv würdigte es hingegen den Umstand, "dass der Beschuldigte nach anfänglichem Leugnen seine Widerhandlungen gegen das Betäubungsmittelgesetz eingestand." Das Geständnis habe die Untersuchungsführung erleichtert (vgl. kant. Akt. 237-238, Ziff. VI 4.). Ausgangspunkt für das ausländerrechtliche Verschulden bildet die vom Kriminalgericht ausgesprochene Strafe (vgl. BGE 134 II 10 E. 4.2 m.H.). Straf- und Ausländerrecht verfolgen unterschiedliche Ziele, schützen andere Interessen und sind unabhängig voneinander anzuwenden.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Strafvollzugsbehörden strengerer Beurteilungsmassstab (vgl. BGE 137 II 233 E. 5.2.2 oder Urteil des BGer 2C_516/2014 vom 24. März 2015 E. 4.3.2 je m.H.). Das ausländerrechtlich schwere Verschulden ergibt sich vorliegend aus der eben geschilderten Haupttat sowie dem Umstand, dass der Beschwerdeführer mehrfach und trotz (mehrerer) ausländerrechtlicher Verwarnungen straffällig war, was als weiteres belastendes Element hinzukommt. Vor diesem Hintergrund ist die vom Beschwerdeführer ausgehende Gefahr für die öffentliche Sicherheit und Ordnung als schwerwiegend im Sinne von Art. 67 Abs. 3 zweiter Satz AuG zu bezeichnen.</w:t>
      </w:r>
    </w:p>
    <w:p>
      <w:r>
        <w:rPr>
          <w:b/>
        </w:rPr>
        <w:t>E. 5.5</w:t>
      </w:r>
    </w:p>
    <w:p>
      <w:r>
        <w:t>Bei der Frage, wie es sich zum heutigen Zeitpunkt mit der Gefahr der künftigen Störung der öffentlichen Sicherheit und Ordnung verhält, kommt es wesentlich auf das Rückfallrisiko an. Der Rechtsvertreter weist in der Rechtsmitteleingabe vom 24. August 2015 darauf hin, dass sein Mandant seit der Entlassung aus der Untersuchungshaft am 5. Dezember 2012 drogenabstinent gelebt und auch keine neuen Delikte mehr begangen habe. Dabei verkennt er allerdings, dass für die Berechnung der Dauer des klaglosen Verhaltens nicht auf den Begehungs- oder Urteilszeitpunkt abzustellen ist. Von vorrangiger Bedeutung erscheint stattdessen, wie lange sich eine straffällig gewordene Person nach ihrer Entlassung aus der Haft in Freiheit bewährt hat (vgl. BVGE 2014/20 E. 5.4 m.H.). Die Entlassung aus der Untersuchungshaft kann mit anderen Worten nicht als Basis für die Rückfallgefahr dienen. Der Beschwerdeführer hat den unbedingten Teil der Freiheitsstrafe vom 15. April 2014 bis zum 4. September 2014 in Halbgefangenschaft verbracht; die dreijährige Probezeit läuft demnach noch bis im September dieses Jahres. Die somit seit der Haftentlassung verstrichene Zeit ist - auch mit Blick auf die verletzten Rechtsgüter - zu kurz, der Beschwerdeführer steht wie Gesagt auch noch unter dem Druck der laufenden Probezeit, als dass dies an der derzeitigen Risikoeinschätzung etwas zu ändern vermag. Weiter darf nicht ausser Acht gelassen werden, dass während der vom Rechtsvertreter erwähnten Zeitspanne das Verfahren bzgl. Niederlassungsbewilligung und damit das weitere Anwesenheitsrecht des Beschwerdeführers strittig war, weshalb die Bedeutung des bisherigen Wohlverhaltens auch gestützt darauf zu relativieren ist. Gleiches gilt für den am 28. Juni 2017 nachgereichten Strafregisterauszug der Republik Kosovo vom 17. Mai 2017, der das Wohlverhalten des Beschwerdeführers in seiner Heimat belegt und den guten Willen erkennen lässt. Aufgrund dessen kann eine schwerwiegende Rückfallgefahr bis auf Weiteres nicht als gebannt betrachtet werden.</w:t>
      </w:r>
    </w:p>
    <w:p>
      <w:r>
        <w:rPr>
          <w:b/>
        </w:rPr>
        <w:t>E. 5.6</w:t>
      </w:r>
    </w:p>
    <w:p>
      <w:r>
        <w:t>Auf eine günstige Prognose schliesst der Beschwerdeführer vor allem deshalb, weil er seit seiner Entlassung aus der Untersuchungshaft im Jahre 2012 drogen- und deliktfrei lebe. Zudem habe er im Jahre 2013 eine Schweizer Bürgerin geheiratet und im darauffolgenden Jahr sei er Vater eines Sohnes geworden. In diesem Zusammenhang reichte er mit Schreiben vom 17. September 2015 einen Kurzbericht der Vollzugs- und Bewährungsdienste des Kantons Luzern vom 31. August 2015 zu den Akten. Demzufolge habe sich der Beschwerdeführer anlässlich der Beratungsgespräche im Zeitraum zwischen dem 5. Dezember 2012 und dem 7. August 2015 stets und in aller Deutlichkeit von seiner deliktischen Vergangenheit distanziert. Stabilisierend und somit eindeutig ein deliktpräventiver Faktor sei seine Familie, seine Arbeitstätigkeit, der nachweisliche Verzicht auf Drogen und Alkohol sowie der ernsthafte Wille nicht mehr strafrechtlich in Erscheinung zu treten. Auch diese Einwände sind gestützt auf die in E. 5.5 soeben gemachten Ausführungen entsprechend zu relativieren, weshalb weiterhin von einer Gefährdung wichtiger Rechtsgüter ausgegangen werden muss.</w:t>
      </w:r>
    </w:p>
    <w:p>
      <w:r>
        <w:rPr>
          <w:b/>
        </w:rPr>
        <w:t>E. 5.7</w:t>
      </w:r>
    </w:p>
    <w:p>
      <w:r>
        <w:t>Als Zwischenergebnis ist festzustellen, dass der Beschwerdeführer zum heutigen Zeitpunkt den qualifizierten Fernhaltegrund einer schwerwiegenden Gefährdung für die öffentliche Sicherheit und Ordnung im Sinne von Art. 67 Abs. 3 zweiter Satz AuG erfüllt. Das gegen ihn verhängte Einreiseverbot darf damit die Dauer von fünf Jahren überschreiten.</w:t>
      </w:r>
    </w:p>
    <w:p>
      <w:r>
        <w:rPr>
          <w:b/>
        </w:rPr>
        <w:t>E. 6.1</w:t>
      </w:r>
    </w:p>
    <w:p>
      <w:r>
        <w:t>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Vom Beschwerdeführer geht wie dargetan (vgl. E. 5.4-5.7) eine schwerwiegende Gefahr für die öffentliche Sicherheit und Ordnung in einem besonders sensitiven Bereich aus, weshalb nach wie vor von einem grossen öffentlichen Fernhalteinteresse auszugehen ist (vgl. BVGE 2013/4 E. 5.2 und 7.2). Der Beschwerdeführer hat nach den Feststellungen der Strafinstanz und der Bewilligungsbehörden über Jahre hinweg einen schwunghaften Kokainhandel grösseren Stils betrieben und dabei zuletzt die dreissigfache Menge seines Eigenkonsums umgesetzt. Zuvor bestand eine lange Deliktsperiode mit insgesamt 25 Verurteilungen; dies trotz dreier ausländerrechtlicher Verwarnungen. Das Hauptaugenmerk liegt somit in der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w:t>
      </w:r>
    </w:p>
    <w:p>
      <w:r>
        <w:rPr>
          <w:b/>
        </w:rPr>
        <w:t>E. 6.3</w:t>
      </w:r>
    </w:p>
    <w:p>
      <w:r>
        <w:t>Den vorstehenden öffentlichen Interessen stellt der Beschwerdeführer sein privates Interesse an möglichst ungehinderten persönlichen Kontakten zu seiner in der Schweiz lebenden Ehefrau und seinem Sohn gegenüber. Die familiären Beziehungen seien intakt. Mit dem ausgesprochenen zehnjährigen Einreiseverbot könne eine Vater-Kind-Beziehung nur schwerlich aufrechterhalten werden und es stelle des Weiteren auch eine schwere Belastung für die eheliche Beziehung dar. Ausserdem sei er hierzulande aufgewachsen, sei einer geregelten Arbeit nachgegangen und kenne sein Heimatland kaum.</w:t>
      </w:r>
    </w:p>
    <w:p>
      <w:r>
        <w:rPr>
          <w:b/>
        </w:rPr>
        <w:t>E. 6.4</w:t>
      </w:r>
    </w:p>
    <w:p>
      <w:r>
        <w:t>Einleitend ist an dieser Stelle hervorzuheben,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seiner Niederlassungsbewilligung und dem erfolglosen Verfahren vor dem Bundesgericht (Urteil des BGer 2C_81/2015 vom 25. Juni 2015) verlassen. Aspekte wie ein langer Voraufenthalt hierzulande oder allfällige Schwierigkeiten bei der Reintegration im Heimatland können im Rahmen des vorliegenden Verfahrens daher nur sehr eingeschränkt Berücksichtigung finden. Im Folgenden stellt sich demnach einzig die Frage, ob die über die Verweigerung des Aufenthaltsrechts hinausgehende, durch das Einreiseverbot zusätzlich bewirkte Erschwernis vor Art. 8 Ziff. 1 EMRK und Art. 13 Abs. 1 BV standhält (vgl. zum Ganzen auch BVGE 2013/4 E. 7.4.1 und 7.4.2).</w:t>
      </w:r>
    </w:p>
    <w:p>
      <w:r>
        <w:rPr>
          <w:b/>
        </w:rPr>
        <w:t>E. 6.5</w:t>
      </w:r>
    </w:p>
    <w:p>
      <w:r>
        <w:t>Die Pflege regelmässiger Kontakte zu seiner Ehefrau und seinem Sohn scheitert wie eben dargetan bereits am fehlenden Bleiberecht. Der Beschwerdeführer hat zwei Monate nach der Entlassung aus der Untersuchungshaft eine Schweizer Bürgerin geehelicht (12. Februar 2013). Den Eheleuten hätte aufgrund der laufenden Verfahren (offenes Strafurteil bzw. Widerruf der Niederlassungsbewilligung) bewusst gewesen sein bzw. sie hätten damit rechnen müssen, dass die Möglichkeit, ihre Beziehung längerfristig in der Schweiz leben zu können, nicht gegeben ist. Auch bei der darauffolgenden Familienplanung (der gemeinsame Sohn ist am 14. Mai 2014 zur Welt gekommen) haben die Eheleute damit rechnen müssen, dass ein normales Familienleben in der Schweiz - vor allem wegen der langjährigen Straffälligkeit des Beschwerdeführers - nicht möglich sein wird. Die privaten Interessen sind auch deshalb zu relativieren, als die Bewilligungsbehörden die Integration des Beschwerdeführers in wirtschaftlicher und gesellschaftlicher Hinsicht zwar als ausreichend, insgesamt aber als unzureichend betrachteten und der Ehefrau und dem Kind eine Begleitung des Beschwerdeführers in den Kosovo als zumutbar erachteten, auch wenn es ihnen unbenommen bleibt, als Schweizer Bürger hier zu verbleiben. Wie in der angefochtenen Verfügung des SEM bereits erwähnt, bestehen die Wirkungen des Einreiseverbots nicht darin, dem Beschwerdeführer während der Geltungsdauer der Massnahme Besuchsaufenthalte bei ihm nahe stehenden Personen schlichtweg zu untersagen. Es steht im vielmehr die Möglichkeit offen, aus wichtigen Gründen mittels begründeten Gesuchs die zeitweilige Suspension der angeordneten Fernhaltemassnahme zu beantragen (Art. 67 Abs. 5 AuG). Die Suspension wird praxisgemäss nur für eine kurze und klar begrenzte Zeit gewährt und sie darf das Einreiseverbot nicht aushöhlen (vgl. BVGE 2013/4 E. 7.4.3 m.H.; sowie zur Praxis des SEM den Bericht in Erfüllung des Postulates 12.3002 der SPK-SR vom 22. Mai 2013, Ziff. 2.2.1).</w:t>
      </w:r>
    </w:p>
    <w:p>
      <w:r>
        <w:rPr>
          <w:b/>
        </w:rPr>
        <w:t>E. 6.6</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der relevanten Beurteilungselemente (langjährige Delinquenz; Verbrechen gegen das Betäubungsmittelgesetz, begangen als schwerer Fall; bedingte Entlassung erfolgte im September 2014, womit die Probezeit noch läuft) eine verhältnismässige und angemessene Massnahme darstellt. Die Ausschreibung im SIS II erfolgt insbesondere angesichts von abgeurteilten oder zu befürchtenden Straftaten gewisser Schwere (Art. 24 Ziff. 2 Bst. a oder Bst. b SIS-II-Verordnung, siehe auch E. 3.4 hiervor), eine Voraussetzung, welche im Falle des Beschwerdeführers ebenfalls erfüllt ist. Auch die Ausschreibung im SIS ist somit rechtens.</w:t>
      </w:r>
    </w:p>
    <w:p>
      <w:r>
        <w:rPr>
          <w:b/>
        </w:rPr>
        <w:t>E. 7</w:t>
      </w:r>
    </w:p>
    <w:p>
      <w:r>
        <w:t>Aus diesen Erwägungen ergibt sich, dass die angefochtene Verfügung im Lichte von Art. 49 VwVG nicht zu beanstanden ist. Die Beschwerde ist daher abzuweisen.</w:t>
      </w:r>
    </w:p>
    <w:p>
      <w:r>
        <w:rPr>
          <w:b/>
        </w:rPr>
        <w:t>E. 8</w:t>
      </w:r>
    </w:p>
    <w:p>
      <w:r>
        <w:t>Entsprechend dem Ausgang des Verfahrens sind dem Beschwerdeführer die Kosten aufzuerlegen (Art. 63 Abs. 1 VwVG i.V.m. Art. 1 ff. des Reglements vom 21. Februar 2008 über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