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F-5111/2019 vom 18. Januar 2021</w:t>
      </w:r>
    </w:p>
    <w:p>
      <w:r>
        <w:t>Bundesverwaltungsgericht, 2021-01-18, DE</w:t>
      </w:r>
    </w:p>
    <w:p>
      <w:r>
        <w:rPr>
          <w:b/>
        </w:rPr>
        <w:t xml:space="preserve">Quelle: </w:t>
      </w:r>
      <w:r>
        <w:t>https://mcp.opencaselaw.ch/entscheid/bvger_F-5111_2019</w:t>
      </w:r>
    </w:p>
    <w:p>
      <w:r>
        <w:t>FR: TAF F-5111/2019 du 18 janvier 2021</w:t>
      </w:r>
    </w:p>
    <w:p>
      <w:r>
        <w:t>IT: TAF F-5111/2019 del 18 gennaio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der Verordnung vom 24. Oktober 2007 über Zulassung, Aufenthalt und Erwerbstätigkeit [VZAE, SR 142.201]).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Der Beschwerdeführerin, welche sich bereits vom 10. Oktober 2018 bis zum 7. Januar 2019 im Schengen-Raum aufgehalten hatte, wurde von der Strafbehörde vorgeworfen, sich erneut vom 20. März 2019 bis zu ihrer Verhaftung am 16. September 2019 bewusst und gewollt ununterbrochen in der Schweiz aufgehalten zu haben, obwohl sie nicht über ein für amerikanische Staatsangehörige für einen Aufenthalt von mehr als 90 Tagen erforderliches Visum für die Schweiz verfügt habe. Dabei habe sie die bewilligungsfreie Aufenthaltsdauer von 90 Tagen innerhalb von 180 Tagen um mehrere Monate überzogen. Gestützt auf diesen Sachverhalt wurde die Beschwerdeführerin denn auch von der Staatsanwaltschaft Limmattal / Albis wegen rechtswidrigen Aufenthalts im Sinne von Art. 115 Abs. 1 Bst. b AIG zu einer (bedingten) Geldstrafe von 60 Tagessätzen zu je Fr. 330.- sowie zu einer Busse von Fr. 1'000.- verurteilt (vgl. Strafbefehl vom 17. September 2019).</w:t>
      </w:r>
    </w:p>
    <w:p>
      <w:r>
        <w:rPr>
          <w:b/>
        </w:rPr>
        <w:t>E. 4.2</w:t>
      </w:r>
    </w:p>
    <w:p>
      <w:r>
        <w:t>Soweit die Beschwerdeführerin vorbringt, in casu bestehe kein rechtskräftiger Strafbefehl, habe sie doch fristgerecht dagegen Einsprache erhoben, gilt es in diesem Zusammenhang darauf hinzuweisen, dass die Anordnung eines Einreiseverbots gemäss ständiger Rechtsprechung auch dann ergehen kann, wenn ein rechtskräftiges Strafurteil fehlt, so weil ein Strafverfahren nicht eröffnet wurde, noch hängig ist oder gar eingestellt wurde (vgl. Urteil des BVGer F-6906/2018 vom 10. Dezember 2019 E. 4.3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Unschuldsvermutung im Administrativverfahren grundsätzlich keine Geltung beanspruchen kann (vgl. Urteil des BVGer F-7146/2017 vom 30. Mai 2018 E. 4.3).</w:t>
      </w:r>
    </w:p>
    <w:p>
      <w:r>
        <w:rPr>
          <w:b/>
        </w:rPr>
        <w:t>E. 4.3</w:t>
      </w:r>
    </w:p>
    <w:p>
      <w:r>
        <w:t>Aufgrund der Aktenlage ist hinreichend erstellt, dass sich die Beschwerdeführerin während mehreren Monaten widerrechtlich in der Schweiz bzw. im Schengen-Raum aufgehalten hat. Damit hat sie fraglos gegen die öffentliche Sicherheit und Ordnung im Sinne von Art. 67 Abs. 2 Bst. a AIG i.V.m. Art. 77a Abs. 1 Bst. a VZAE verstossen, weshalb sich die Verhängung einer Fernhaltemassnahme rechtfertigte.</w:t>
      </w:r>
    </w:p>
    <w:p>
      <w:r>
        <w:rPr>
          <w:b/>
        </w:rPr>
        <w:t>E. 5.1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5.2</w:t>
      </w:r>
    </w:p>
    <w:p>
      <w:r>
        <w:t>Die Beschwerdeführerin hat sich während eines beachtlichen Zeitraums über den bewilligungsfreien Aufenthalt hinaus in der Schweiz bzw. im Schengen-Raum aufgehalten. Aufgrund dieses objektiv nicht mehr leichten Fehlverhaltens ist auf eine Gefährdung der öffentlichen Sicherheit und Ordnung zu schliessen. An der Einhaltung der Rechtsordnung im Allgemeinen und den Vorschriften über Einreise und Aufenthalt im Besonderen besteht denn auch ein gewichtiges öffentliches Interesse. Zum einen liegt eine spezialpräventive Zielsetzung der Massnahme darin, die Beschwerdeführerin zu ermahnen, bei einer allfälligen künftigen Wiedereinreise nach Ablauf des Einreiseverbots die für sie geltenden Regeln einzuhalten. Gewichtig ist aber ebenso das generalpräventiv motivierte Interesse, die öffentliche Ordnung durch eine konsequente Massnahmenpraxis zu schützen (zur Zulässigkeit der Berücksichtigung generalpräventiver Aspekte in Konstellationen, in denen wie hier keine sogenannte Vertragsausländerin betroffen ist, vgl. Urteil des BGer 2C_282/2012 vom 31. Juli 2012 E. 2.5 m.H.).</w:t>
      </w:r>
    </w:p>
    <w:p>
      <w:r>
        <w:rPr>
          <w:b/>
        </w:rPr>
        <w:t>E. 5.3</w:t>
      </w:r>
    </w:p>
    <w:p>
      <w:r>
        <w:t>Den öffentlichen Interessen sind die privaten Interessen der Beschwerdeführerin gegenüberzustellen. Diese beziehen sich ausschliesslich auf deren berufliche Tätigkeit. Die vorübergehende Einschränkung ihrer Geschäftstätigkeit hat sie jedoch selbst zu verantworten. Im Übrigen ist die Fernhaltemassnahme nicht als absolutes Einreiseverbot ausgestaltet. Sie stellt vielmehr ein Einreiseverbot mit Bewilligungsvorbehalt dar. Der Beschwerdeführerin bleibt es freigestellt, aus wichtigen Gründen mittels Gesuchs die zeitweilige Suspension der angeordneten Fernhaltemassnahme zu beantragen (vgl. Art. 67 Abs. 5 AIG), wobei eine solche praxisgemäss nur für eine kurze und klar begrenzte Zeit gewährt wird (vgl. BVGE 2013/4 E. 7.4.3 m.H.).</w:t>
      </w:r>
    </w:p>
    <w:p>
      <w:r>
        <w:rPr>
          <w:b/>
        </w:rPr>
        <w:t>E. 5.4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5.5</w:t>
      </w:r>
    </w:p>
    <w:p>
      <w:r>
        <w:t>Die Beschwerdeführerin kann als Drittstaatsangehörige grundsätzlich zur Einreise- beziehungsweise Aufenthaltsverweigerung im SIS II ausgeschrieben werden, wenn ihre Anwesenheit im übrigen Schengen-Raum - wie oben ausgeführt - eine Gefahr für die öffentliche Sicherheit oder Ordnung darstellt. Dies ist gemäss Art. 24 Ziff. 2 Bst. a der SIS-II-Verordnung namentlich dann der Fall, wenn jemand wegen einer Straftat verurteilt worden ist, die mit Freiheitsstrafe von mindestens einem Jahr bedroht ist, was bei rechtswidrigem Aufenthalt im Sinne von Art. 115 Abs. 1 Bst. b AIG zutrifft. Es besteht kein Grund, vom klaren Wortlaut dieser Verordnungsbestimmung abzuweichen, auch wenn in der Lehre teilweise die Auffassung vertreten wird, es sei jeweils auf die Höhe der effektiv ausgesprochenen Strafe abzustellen, wobei eine Ausschreibung im SIS II bei bedingt ausgesprochenen Geld- oder Freiheitsstrafen kaum verhältnismässig sein dürfte (vgl. etwa Marc Spescha in: Kommentar Migrationsrecht, 5. Aufl. 2019, Art. 67 N. 9). Insofern vermag die Beschwerdeführerin mit ihrem Einwand, ihr drohe gemäss (nicht rechtskräftigem) Strafbefehl der Staatsanwaltschaft Limmattal / Albis lediglich eine Geldstrafe, nichts zu ihren Gunsten abzuleiten (vgl. zum Ganzen Urteil des BVGer F-3183/2020 vom 21. Dezember 2020 E. 8.4). Abgesehen davon handelt es sich vorliegend um einen Verstoss gegen nationale Rechtsvorschriften über die Einreise und den Aufenthalt, weshalb bereits aus diesem Grund eine Ausschreibung im SIS II gerechtfertigt ist (vgl. Art. 21 i.V.m. Art. 24 Ziff. 3 SIS-II-Verordnung). Eine mit der Ausschreibung der Fernhaltemassnahme einhergehende zusätzliche Beeinträchtigung ihrer persönlichen Bewegungsfreiheit hat die Beschwerdeführerin somit in Kauf zu nehmen.</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