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F-510/2018 vom 28. Mai 2018</w:t>
      </w:r>
    </w:p>
    <w:p>
      <w:r>
        <w:t>Bundesverwaltungsgericht, 2018-05-28, FR</w:t>
      </w:r>
    </w:p>
    <w:p>
      <w:r>
        <w:rPr>
          <w:b/>
        </w:rPr>
        <w:t xml:space="preserve">Quelle: </w:t>
      </w:r>
      <w:r>
        <w:t>https://mcp.opencaselaw.ch/entscheid/bvger_F-510_2018</w:t>
      </w:r>
    </w:p>
    <w:p>
      <w:r>
        <w:t>FR: TAF F-510/2018 du 28 mai 2018</w:t>
      </w:r>
    </w:p>
    <w:p>
      <w:r>
        <w:t>IT: TAF F-510/2018 del 28 maggio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ayant pris part à la procédure devant l'autorité inférieure, a la qualité pour recourir (art. 48 al. 1 PA). Présenté par ailleurs dans la forme et les délais prescrits par la loi, le recours dirigé contre la décision du SEM du 22 décembre 2017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4.3</w:t>
      </w:r>
    </w:p>
    <w:p>
      <w:r>
        <w:t>Le Règlement (CE) 539/2001 du Conseil du 15 mars 2001 (JO L 81 du 21 mars 2001, p. 1-7) différencie, en son art. 1 par. 1 et 2, les ressortissants des Etats tiers selon qu'ils sont soumis ou non à l'obligation du visa. En tant que ressortissante algérienne, l'invitée est soumise à une telle obligation.</w:t>
      </w:r>
    </w:p>
    <w:p>
      <w:r>
        <w:rPr>
          <w:b/>
        </w:rPr>
        <w:t>E. 5</w:t>
      </w:r>
    </w:p>
    <w:p>
      <w:r>
        <w:t>Quant au fond, l'autorité inférieure a confirmé le refus d'autorisation d'entrée dans l'Espace Schengen prononcé par la représentation de Suisse à Alger à l'encontre d[e] B._______, au motif que la sortie de l'intéressée de l'Espace Schengen au terme du séjour sollicité n'était pas garantie. Elle a relevé que cette dernière, âgée de 28 ans, était jeune, célibataire et n'avait encore jamais voyagé à l'étranger, soit en particulier dans l'Espace Schengen. L'intéressée n'avait par ailleurs pas d'attaches si contraignantes avec son pays d'origine que son retour au terme du séjour projeté pourrait être considéré comme garanti. L'autorité inférieure a constaté que l'invitée, bien que travaillant en tant qu'assistante administrative principale auprès du même employeur depuis mars 2016, ne semblait pas réaliser un revenu permettant de conclure qu'elle bénéficiait sur place de conditions de vie si ce n'est aisées, du moins stables et appréciables. La prise en charge par sa tante, le cas échéant, de la totalité de ses frais de séjour, selon la lettre d'invitation produite et le formulaire de demande de visa Schengen, tendait à confirmer cette appréciation. De même, les documents produits relatifs à la situation financière de l'intéressée (notamment le relevé d'opérations bancaires produit) ne démontraient pas une situation financière saine. Par ailleurs, l'emploi exercé par l'intéressée ainsi que les études universitaires que cette dernière effectuait en parallèle n'offraient pas l'assurance d'un départ ponctuel à l'échéance du visa requis. Le risque migratoire était bien au contraire élevé, compte tenu du profil de l'invitée et des conditions d'existence auxquelles tout ressortissant algérien pouvait être confronté. Pour sa part, la recourante a fait valoir que sa nièce remplissait toutes les conditions pour se voir délivrer un visa pour l'Espace Schengen. Le but de son séjour était précis et cohérent. Il s'agissait pour l'intéressée de lui rendre visite et d'en profiter pour visiter la Suisse. Les conditions financières du séjour de sa nièce étaient par ailleurs assurées, puisqu'elle s'était, en tant qu'invitante, engagée à garantir la prise en charge de ce séjour, y compris d'éventuels frais extraordinaires. Sa nièce disposait en sus d'un montant de 1'200 euros en tant qu'argent de poche. Le retour de cette dernière était également garanti puisqu'elle disposait du billet d'avion à cet effet. La situation professionnelle stable et les études entreprises par sa nièce étaient aussi des garanties de son retour dans son pays d'origine à l'issue du séjour envisagé. La recourante a enfin exposé son incompréhension vis-à-vis des différents éléments retenus par le SEM pour déduire un risque migratoire élevé dans le cas de sa nièce.</w:t>
      </w:r>
    </w:p>
    <w:p>
      <w:r>
        <w:rPr>
          <w:b/>
        </w:rPr>
        <w:t>E. 6.1</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w:t>
      </w:r>
    </w:p>
    <w:p>
      <w:r>
        <w:rPr>
          <w:b/>
        </w:rPr>
        <w:t>E. 6.2</w:t>
      </w:r>
    </w:p>
    <w:p>
      <w:r>
        <w:t>A ce propos, il faut prendre en considération la qualité de vie et les conditions économiques particulières que connaît l'ensemble de la population en Algérie. Avec un produit intérieur brut (PIB) par habitant de 3'916,9 USD en 2016 (source : le site internet de la Banque mondiale, à l'adresse : https://donnees.banquemondiale.org/indicator/NY.GDP.PCAP.CD?locatiolo=DZ&amp;view=chart, consulté à la fin avril 2018), cet Etat demeure très en dessous des standards européens. Selon les valeurs de 2015, l'indice de développement humain (IDH), qui prend en compte la santé, l'éducation et le revenu des personnes, le classe en 83e position sur 188 Etats (source : le rapport sur le développement humain de 2016 du Programme des Nations Unies pour le développement (PNUD), consultable à l'adresse http://hdr.undp.org/sites/default/files/hdr_2016_report_french_web.pdf, consulté à la fin avril 2018). Dès lors, les conditions socio-économiques difficiles en Algérie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recourante vivant en Suisse (cf. notamment arrêt du TAF F-748/2017 du 1er décembre 2017 consid. 5.3). Compte tenu de la situation générale prévalant en Algérie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l'intéressée de son séjour sur le territoire helvétique au-delà de la durée de validité de son visa (dans le même sens, cf. notamment arrêt du TAF F-748/2017 précité consid. 5.4 et la réf. cit.).</w:t>
      </w:r>
    </w:p>
    <w:p>
      <w:r>
        <w:rPr>
          <w:b/>
        </w:rPr>
        <w:t>E. 6.3</w:t>
      </w:r>
    </w:p>
    <w:p>
      <w:r>
        <w:t>Cela étant, l'autorité ne saurait se fonder sur la seule situation prévalant dans le pays de provenance de l'intéressée pour conclure à l'absence de garantie quant à sa sortie de Suisse, mais doit également prendre en considération les particularités du cas d'espèce (cf. ATAF 2009/27 précité, consid. 7 et 8).</w:t>
      </w:r>
    </w:p>
    <w:p>
      <w:r>
        <w:rPr>
          <w:b/>
        </w:rPr>
        <w:t>E. 6.3.1</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TAF F-7110/2016 du 29 septembre 2017 consid. 5.3 et les réf. cit.). Il convient dès lors d'examiner si la situation personnelle, familiale, professionnelle et patrimoniale de la partie requérante plaide en faveur de sa sortie ponctuelle de Suisse, respectivement de l'Espace Schengen, au terme du séjour envisagé.</w:t>
      </w:r>
    </w:p>
    <w:p>
      <w:r>
        <w:rPr>
          <w:b/>
        </w:rPr>
        <w:t>E. 6.3.2</w:t>
      </w:r>
    </w:p>
    <w:p>
      <w:r>
        <w:t>En l'occurrence, l'intéressée est relativement jeune, célibataire et n'a pas fait valoir de relations familiales particulières, notamment de lien de dépendance, qui l'obligeraient à retourner dans son pays d'origine à la fin du séjour envisagé. S'agissant de sa situation professionnelle, l'invitée est employée par une entreprise de télécommunication en tant qu'assistante administrative principale et ce, depuis mars 2016. Parallèlement à son emploi, elle est également étudiante en droit à l'Université d'Alger. Ce statut d'employée et d'étudiante ne suffit toutefois pas à garantir le départ ponctuel de l'invitée à l'échéance du visa sollicité. Il ne ressort pas du dossier que l'invitée ait en effet des responsabilités particulières dans l'entreprise qui l'emploie et bénéficie d'un salaire qui l'inciterait à quitter la Suisse le moment venu. Bien au contraire, si l'on se réfère au bulletin de paie pour le mois de septembre 2017, qu'elle a produit à l'appui de sa requête de visa, il y a lieu de constater que ses revenus sont très modestes, soit d'un montant net de 43'998,20 dinars algériens, équivalant à environ 394 francs (1 dinar algérien équivalant à 0,008951 franc suisse ; cf. site de PostFinance : https://www.postfinance.ch/fr/particuliers/assistance/outils-calculateurs/calculateur-monnaie.html, visité le 23 mai 2018). Cette situation financière modeste constitue un risque important que l'invitée décide de prolonger son séjour sur le territoire helvétique à l'échéance de son visa. S'agissant des assurances données par la recourante, notamment sur le plan financier, quant au départ ponctuel de l'intéressée à l'issue de son séjour, il y a lieu de rappeler qu'elles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(cf. ATAF 2009/27 consid. 9 et notamment arrêt du TAF F-4176/2017 du 1er mars 2018 consid. 6). Le Tribunal relève enfin que le fait que l'invitée n'obtienne pas un visa pour rendre visite à sa tante en Suisse ne les empêche pas de maintenir des relations, celles-ci pouvant se rencontrer hors de Suisse. Compte tenu par ailleurs de la pression migratoire à laquelle les autorités suisses (et européennes) sont confrontées, on ne peut leur reprocher d'appliquer une politique trop restrictive en matière d'entrée sur le territoire Schengen.</w:t>
      </w:r>
    </w:p>
    <w:p>
      <w:r>
        <w:rPr>
          <w:b/>
        </w:rPr>
        <w:t>E. 6.3.3</w:t>
      </w:r>
    </w:p>
    <w:p>
      <w:r>
        <w:t>Au vu de ce qui précède, le Tribunal considère que le retour de l'intéressée dans sa patrie au terme de l'autorisation requise n'est pas suffisamment assuré et que c'est donc de manière fondée que l'autorité inférieure a écarté l'opposition en cause et confirmé le refus de lui octroyer une autorisation d'entrée dans l'Espace Schengen.</w:t>
      </w:r>
    </w:p>
    <w:p>
      <w:r>
        <w:rPr>
          <w:b/>
        </w:rPr>
        <w:t>E. 7</w:t>
      </w:r>
    </w:p>
    <w:p>
      <w:r>
        <w:t>Au demeurant, le Tribunal constate que le dossier ne laisse pas apparaître de motifs susceptibles de justifier la délivrance en faveur de l'invitée d'un visa à validité territoriale limitée (cf. consid. 4.2 supra).</w:t>
      </w:r>
    </w:p>
    <w:p>
      <w:r>
        <w:rPr>
          <w:b/>
        </w:rPr>
        <w:t>E. 8</w:t>
      </w:r>
    </w:p>
    <w:p>
      <w:r>
        <w:t>Il s'ensuit que, par sa décision du 22 décembre 2017,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La recourante n'a par ailleurs pas droit à des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