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F-5104/2025 vom 15. Juli 2025</w:t>
      </w:r>
    </w:p>
    <w:p>
      <w:r>
        <w:t>Bundesverwaltungsgericht, 2025-07-15, IT</w:t>
      </w:r>
    </w:p>
    <w:p>
      <w:r>
        <w:rPr>
          <w:b/>
        </w:rPr>
        <w:t xml:space="preserve">Quelle: </w:t>
      </w:r>
      <w:r>
        <w:t>https://mcp.opencaselaw.ch/entscheid/bvger_F-5104_2025</w:t>
      </w:r>
    </w:p>
    <w:p>
      <w:r>
        <w:t>FR: TAF F-5104/2025 du 15 juillet 2025</w:t>
      </w:r>
    </w:p>
    <w:p>
      <w:r>
        <w:t>IT: TAF F-5104/2025 del 15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I ricorsi manifestamenti infondati, come quello in esame, sono decisi da un giudice unico con l'approvazione di un secondo giudice e la sentenza è motivata soltanto sommariamente (artt. 111 lett. e combinato 111a cpv. 2 LAsi). Nello specifico, il Tribunale rinuncia inoltre allo scambio degli scritti in virtù dell'art. 111a cpv. 1 LAsi.</w:t>
      </w:r>
    </w:p>
    <w:p>
      <w:r>
        <w:rPr>
          <w:b/>
        </w:rPr>
        <w:t>E. 2.1</w:t>
      </w:r>
    </w:p>
    <w:p>
      <w:r>
        <w:t>L'autorità inferiore ha correttamente rilevato che l'Austria ha accettato la riammissione del ricorrente in virtù dell'art. 18 par. 1 lett. d RD III, ciò che giustifica la competenza di detto Paese per condurre il seguito della procedura di determinazione dello Stato membro competente per la domanda d'asilo. Inoltre, conformemente all'invalsa giurisprudenza del Tribunale (cfr. ex multis sentenza del TAF F-393/2025 del 23 gennaio 2025 consid. 2.1), l'autorità inferiore ha giustamente concluso che in Austria non sussistono carenze sistemiche ai sensi dell'art. 3 par. 2 RD III e che, considerate le allegazioni addotte nell'ambito del colloquio Dublino nonché lo stato di salute dell'interessato (caratterizzato segnatamente da problematiche legate ad un ictus avvenuto in passato) non sussistono validi motivi per l'applicazione della clausola di sovranità di cui all'art. 17 par. 1 RD III combinato art. 29a cpv. 3 dell'Ordinanza 1 sull'asilo relativa a questioni procedurali (OAsi 1, RS 142.311). La SEM ha quindi agito in conformità con il diritto federale nella misura in cui non è entrata nel merito della domanda d'asilo in virtù dell'art. 31a cpv. 1 lett. b LAsi e ha ordinato il trasferimento del richiedente verso l'Austria in applicazione dell'art. 44 LAsi. Per il resto, si rinvia alle motivazioni contenute nella decisione impugnata, alla quale può essere prestata adesione.</w:t>
      </w:r>
    </w:p>
    <w:p>
      <w:r>
        <w:rPr>
          <w:b/>
        </w:rPr>
        <w:t>E. 2.2</w:t>
      </w:r>
    </w:p>
    <w:p>
      <w:r>
        <w:t>Le censure proposte nel gravame di ricorso non permettono di giungere a una conclusione diversa. Segnatamente, il ricorrente non ha fornito indizi seri e concreti suscettibili di comprovare che un suo ritorno in Austria lo esporrebbe al rischio di essere privato del sostentamento minimo e di subire delle condizioni di vita indegne, in violazione della direttiva 2013/33/UE (direttiva accoglienza). Anche lo stato di salute del ricorrente (cfr. SEM-atti nr. 36/4, 25/4, così come il consulto oftalmologico del 9 luglio 2025 caricato sul portale eGov l'11 luglio 2025) non raggiunge una gravità tale da ostacolare il suo trasferimento verso l'Austria sotto il profilo dell'art. 3 CEDU (cfr. sentenze della CorteEDU Savran contro Danimarca del 7 dicembre 2021, 57467/15,§§ 121 segg.; DTAF 2017 VI/7 consid. 6.2; DTAF 2011/9 consid. 7.1).</w:t>
      </w:r>
    </w:p>
    <w:p>
      <w:r>
        <w:rPr>
          <w:b/>
        </w:rPr>
        <w:t>E. 3</w:t>
      </w:r>
    </w:p>
    <w:p>
      <w:r>
        <w:t>Ne discende che la decisione della SEM non è da contestare e il ricorso deve quindi essere respinto.</w:t>
      </w:r>
    </w:p>
    <w:p>
      <w:r>
        <w:rPr>
          <w:b/>
        </w:rPr>
        <w:t>E. 4</w:t>
      </w:r>
    </w:p>
    <w:p>
      <w:r>
        <w:t>Avendo il Tribunale statuito nel merito del ricorso, le misure supercautelari pronunciate l'11 luglio 2025 sono revocate.</w:t>
      </w:r>
    </w:p>
    <w:p>
      <w:r>
        <w:rPr>
          <w:b/>
        </w:rPr>
        <w:t>E. 5</w:t>
      </w:r>
    </w:p>
    <w:p>
      <w:r>
        <w:t>Visto l'esito della procedura, le spese processuali di CHF 750.- sono poste a carico del ricorrente (art. 63 cpv. 1 e 5 PA; nonché artt. 1-3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