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F-5101/2020 vom 21. Oktober 2020</w:t>
      </w:r>
    </w:p>
    <w:p>
      <w:r>
        <w:t>Bundesverwaltungsgericht, 2020-10-21, DE</w:t>
      </w:r>
    </w:p>
    <w:p>
      <w:r>
        <w:rPr>
          <w:b/>
        </w:rPr>
        <w:t xml:space="preserve">Quelle: </w:t>
      </w:r>
      <w:r>
        <w:t>https://mcp.opencaselaw.ch/entscheid/bvger_F-5101_2020</w:t>
      </w:r>
    </w:p>
    <w:p>
      <w:r>
        <w:t>FR: TAF F-5101/2020 du 21 octobre 2020</w:t>
      </w:r>
    </w:p>
    <w:p>
      <w:r>
        <w:t>IT: TAF F-5101/2020 del 21 ottobre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berührt und hat ein schutzwürdiges Interesse an deren Aufhebung beziehungsweise Änderung. Sie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w:t>
      </w:r>
    </w:p>
    <w:p>
      <w:r>
        <w:t>In formeller Hinsicht rügt der Parteivertreter, die angefochtene Verfügung sei unzureichend begründet, weil sich die Vorinstanz nur sehr knapp zur Thematik der drohenden Zwangsheirat geäussert habe. Was die Begründungspflicht gemäss Art. 35 VwVG anbelangt, so soll sie den Betroffenen in die Lage versetzen, den Entscheid sachgerecht anzufechten. Die Behörde hat kurz die wesentlichen Überlegungen zu nennen, von denen sie sich leiten liess und auf die sie ihren Entscheid stützt. Dabei ist sie nicht gehalten, zu jedem Argument der Partei explizit Stellung zu nehmen. Es genügt, wenn aus der Gesamtheit der Begründung implizit hervorgeht, weshalb das Vorgebrachte als unrichtig oder unwesentlich übergangen wird (vgl. BGE 137 II 266 E. 3.2 m.H.; BVGE 2012/24 E. 3.2). Das SEM hat die diesbezüglichen Befürchtungen der Beschwerdeführerin in der angefochtenen Verfügung wiedergegeben (S. 4 oben) und dazu inhaltlich - wenn auch kurz - Stellung genommen (S. 6 oben), womit es seiner Begründungspflicht hinreichend nachgekommen ist. Für eine Rückweisung an die Vorinstanz besteht daher kein Anlass.</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5.3</w:t>
      </w:r>
    </w:p>
    <w:p>
      <w:r>
        <w:t>Besitzt ein Antragsteller einen gültigen Aufenthaltstitel, so ist gemäss Art. 12 Abs. 1 Dublin-III-VO derjenige Mitgliedstaat für die Prüfung des Antrags auf internationalen Schutz zuständig, der den Aufenthaltstitel ausgestellt hat. Falls der Aufenthaltstitel seit weniger als zwei Jahren abgelaufen ist, gelangt Art. 12 Abs. 1 Dublin-III-VO ebenfalls zur Anwendung, sofern der Antragsteller das Hoheitsgebiet der Mitgliedstaaten nicht verlassen hat (Art. 12 Abs. 4 Dublin-III-VO). Die Dublin-III-VO räumt den Schutzsuchenden kein Recht ein, den ihren Antrag prüfenden Staat selber auszuwählen (vgl. BVGE 2010/45 E. 8.3).</w:t>
      </w:r>
    </w:p>
    <w:p>
      <w:r>
        <w:rPr>
          <w:b/>
        </w:rPr>
        <w:t>E. 6.1</w:t>
      </w:r>
    </w:p>
    <w:p>
      <w:r>
        <w:t>Den vorinstanzlichen Akten ist zu entnehmen, dass die Beschwerdeführerin in Frankreich vom 1. Oktober 2016 bis 30. September 2017 im Besitze einer befristeten Aufenthaltsbewilligung war. Ihr Gesuch um Verlängerung der Aufenthaltsbewilligung wurde am 15. Mai 2020 abgewiesen. Ein Gespräch hierzu wäre für den 16. Oktober 2020 vorgesehen gewesen (SEM act. 15 und 18). Aktenkundig ist ferner, dass die Beschwerdeführerin nach Einreichung des Verlängerungsgesuches eine Bescheinigung erhielt, mit welcher sie sich jeweils ausweisen konnte. Die französischen Behörden haben ihr die Anwesenheit auf ihrem Staatsgebiet während der Hängigkeit des Verlängerungsverfahrens bis zum 15. Mai 2020 mithin ausdrücklich erlaubt und dies in der Antwort auf das Informationsersuchen bestätigt (SEM act. 18), was als «gültiger Aufenthaltstitel» im Sinne von Art. 12 Abs. 1 Dublin-III-VO ausreicht. Anders verhielte es sich, wenn die Betroffene sich nach Ablauf der erteilten Aufenthaltsbewilligung illegal im betreffenden Mitgliedstaat aufgehalten hätte, was hier nicht der Fall ist (zum Ganzen vgl. Ulrich Koehler, Praxiskommentar zum Europäischen Asylzuständigkeitssystem, Berlin 2018, N. 16 - 18 zu Art. 12 Dublin-III-VO). Aufgrund der korrekt übermittelten Angaben haben sich die französischen Behörden am 5. Oktober 2020, gestützt auf Art. 12 Abs. 4 Dublin-III-VO, denn auch mit der Übernahme der Beschwerdeführerin einverstanden erklärt (SEM act. 26). Die grundsätzliche Zuständigkeit Frankreich ist somit gegeben, weshalb dem Eventualbegehren um Rückweisung der Angelegenheit an die Vorinstanz zwecks Klärung des Aufenthaltsrechts nicht stattzugeben ist.</w:t>
      </w:r>
    </w:p>
    <w:p>
      <w:r>
        <w:rPr>
          <w:b/>
        </w:rPr>
        <w:t>E. 6.2</w:t>
      </w:r>
    </w:p>
    <w:p>
      <w:r>
        <w:t>Nachfolgend ist demnach im Licht von Art. 3 Abs. 2 Dublin-III-VO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7.1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Unter diesen Umständen ist die Anwendung von Art. 3 Abs. 2 Dublin-III-VO nicht gerechtfertigt.</w:t>
      </w:r>
    </w:p>
    <w:p>
      <w:r>
        <w:rPr>
          <w:b/>
        </w:rPr>
        <w:t>E. 8.1</w:t>
      </w:r>
    </w:p>
    <w:p>
      <w:r>
        <w:t>In der Rechtsmitteleingabe vom 14. Oktober 2020 führt die Beschwerdeführerin hierzu aus, eine Wegweisung nach Frankreich erweise sich aufgrund der ihr dort drohenden Zwangsheirat mit ihrem Cousin als unzulässig und verstosse gegen Art. 3 EMRK. Ebenso fürchte sie sich vor Gewalt seitens des Stiefvaters und ihres leiblichen Vaters sowie vor einer möglichen Verschleppung. Die Fachstelle für Zwangsheirat komme zum Schluss, dass für eine junge Frau aus Tunesien in Frankreich diesbezüglich ein ungenügender Schutz bestehe. Damit einher gehe eine Verschlechterung ihres Gesundheitszustandes. Die Angst vor der drohenden Zwangsheirat sei ursächlich für den zehntägigen stationären Aufenthalt in der Integrierten Psychiatrie X._______ gewesen. Aufgrund ihrer Erlebnisse würde eine Überstellung nach Frankreich zu einer Re-Traumatisierung und einer massiven psychischen Destabilisierung führen, weshalb eine Wegweisung auch deshalb unzulässig sei und einen Verstoss gegen Art. 3 EMRK darstellte.</w:t>
      </w:r>
    </w:p>
    <w:p>
      <w:r>
        <w:rPr>
          <w:b/>
        </w:rPr>
        <w:t>E. 8.2</w:t>
      </w:r>
    </w:p>
    <w:p>
      <w:r>
        <w:t>Wie die Vorinstanz zutreffend festhält, steht es der Beschwerdeführerin nach erfolgter Überstellung nach Frankreich offen, dort um Asyl nachzusuchen und damit Zugang zu den asylrechtlichen Aufnahmestrukturen zu erhalten bzw. den bisherigen Aufenthaltsstatus zu regeln oder zu klären. Die Betroffene hat in diesem Zusammenhang kein konkretes und ernsthaftes Risiko dargetan, die französischen Behörden würden sich weigern, sie wieder aufzunehmen und ihren Antrag auf internationalen Schutz unter Einhaltung der Regeln der Verfahrensrichtlinie zu prüfen. Den Akten sind denn auch keine Gründe für die Annahme zu entnehmen, Frankreich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Frankreich seien derart schlecht, dass sie zu einer Verletzung von Art. 4 der EU-Grundrechtecharta, Art. 3 EMRK oder Art. 3 FoK führen könnten.</w:t>
      </w:r>
    </w:p>
    <w:p>
      <w:r>
        <w:rPr>
          <w:b/>
        </w:rPr>
        <w:t>E. 8.3</w:t>
      </w:r>
    </w:p>
    <w:p>
      <w:r>
        <w:t>Des Weiteren gibt es auch keine Hinweise für die Annahme, Frankreich würde der Beschwerdeführerin dauerhaft die ihr gemäss Aufnahmerichtlinie zustehenden minimalen Lebensbedingungen vorenthalten. Bei einer allfälligen vorübergehenden Einschränkung könnte sie sich nötigenfalls an die französischen Behörden wenden und die ihr zustehenden Aufnahmebedingungen auf dem Rechtsweg einfordern (vgl. Art. 26 Aufnahmerichtlinie). Das Bundesverwaltungsgericht geht trotz der Kritik am französischen Asylsystem davon aus, dass Asylsuchende in Frankreich die von der Aufnahmerichtlinie garantierten Grundleistungen erhalten und dort keine unmenschliche oder erniedrigende Behandlung im Sinne von Art. 3 EMRK zu befürchten haben (vgl. etwa Urteile des BVGer F-4121/2020 vom 25. August 2020 E. 5.2, E-3733/2020 vom 31. Juli 2020 E. 6.3 oder F-282/20202 vom 23. Januar 2020 E. 7.3).</w:t>
      </w:r>
    </w:p>
    <w:p>
      <w:r>
        <w:rPr>
          <w:b/>
        </w:rPr>
        <w:t>E. 8.4</w:t>
      </w:r>
    </w:p>
    <w:p>
      <w:r>
        <w:t>Insoweit die Beschwerdeführerin Furcht vor Zwangsheirat, Verschleppung ins Heimatland und Übergriffen durch Familienangehörige geltend macht, kann sie sich diesbezüglich an die französische Polizei wenden und um Schutz ersuchen. Frankreich ist ein Rechtsstaat, welcher über ein funktionierendes Justiz- und Polizeisystem verfügt. Es liegen keine Hinweise vor, dass die Sicherheitsbehörden der Beschwerdeführerin einen allenfalls notwendigen Schutz gegen Übergriffe durch Familienangehörige oder Landsleute verwehren würden. Die mündlich wiedergegebene Einschätzung der Fachstelle Zwangsheirat ändert, da die grundsätzliche Problematik betreffend und nicht auf den Einzelfall Bezug nehmend, nichts. Es werden somit keine Umstände vorgetragen, welche bei der vorliegenden Beurteilung relevant wären.</w:t>
      </w:r>
    </w:p>
    <w:p>
      <w:r>
        <w:rPr>
          <w:b/>
        </w:rPr>
        <w:t>E. 8.5</w:t>
      </w:r>
    </w:p>
    <w:p>
      <w:r>
        <w:t>Die Beschwerdeführerin beruft sich ferner darauf, ihr Gesundheitszustand stehe einer Überstellung entgegen. Was den medizinischen Sachverhalt anbelangt, so kann eine zwangsweise Rückweisung von Personen mit gesundheitlichen Problemen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8.6</w:t>
      </w:r>
    </w:p>
    <w:p>
      <w:r>
        <w:t>Eine solche Situation liegt nicht vor. Am 7. August 2020 stellte das Ambulatorium Kanonengasse bei der Beschwerdeführerin Asthma bronchiale, Kurzsichtigkeit und Angststörungen fest, worauf ihr ein Antiasthmatikum verschrieben wurde (SEM act. 17). Vom 21. August 2020 bis 31. August 2020 befand sie sich in stationärer psychiatrischer Behandlung. Der entsprechende Kurzaustrittsbericht der Integrierten Psychiatrie X._______ diagnostizierte bei ihr Anpassungsstörungen mit beginnender depressiver Störung, die durch verschiedene psychosoziale Belastungssituationen (vornehmlich im familiären Umfeld) ausgelöst worden seien. Es sei eine weitere Unterstützung durch die psychiatrische Spitex indiziert, um die Entwicklung einer depressiven Störung und die Notwendigkeit einer medikamentösen antidepressiven Behandlung zu verhindern (SEM act. 23 und 24). Am 8. September 2020 fand sich die Beschwerdeführerin danach zu einem psychiatrischen Konsilium beim Stadtärztlichen Dienst der Stadt Zürich ein. Die behandelnde Ärztin bestätigte hierbei die bereits diagnostizierte Anpassungsstörung und stellte eine beginnende depressive Störung, differenzialdiagnostisch auch eine rezidivierende depressive Störung, fest. Ihr aktueller Zustand entspreche dem Bild einer mindestens leichtgradig depressiven Episode. Für das weitere Prozedere wurde der Beschwerdeführerin empfohlen, die bisherige Medikation (ein pflanzliches Arzneimittel gegen Verstimmungszustände, ein pflanzliches Sedativum) fortzuführen. Bei Bedarf falle zudem die Einnahme eines Antidepressivums in Betracht. Sodann wurde ihr geraten, angenehmen Aktivitäten nachzugehen und bei Stabilisierung und Klärung der Aufenthaltssituation eine psychotherapeutische Behandlung anzufangen (SEM act. 24). Der vom Parteivertreter nachgereichte Arztbericht vom 9. September 2020 deckt sich weitgehend mit dem Befund zum psychiatrischen Konsilium (SEM act. 25). Seither sind keine medizinischen Unterlagen hinzugekommen. Aus den in den aktenkundigen Arztberichten figurierenden Diagnosen ergibt sich mithin, dass sich die Beschwerdeführerin aus medizinischer Sicht nicht zwingend in der Schweiz aufhalten muss, sondern eine adäquate Behandlung der festgestellten Leiden in Frankreich möglich ist. Wie erwähnt, wird sie medikamentös versorgt und auch die sonstigen ärztlichen Anordnungen lassen erkennen, dass keine akute bzw. schwere Erkrankung vorliegt, welche der Überstellung entgegenstehen würde. Dementsprechend gelingt es der Beschwerdeführerin nicht nachzuweisen, dass sie nicht reisefähig sei oder eine Überstellung nach Frankreich ihre Gesundheit ernsthaft gefährden würde. Ihr Gesundheitszustand vermag eine Unzulässigkeit im Sinne dieser restriktiven Rechtsprechung nicht zu rechtfertigen. Die in diesem Zusammenhang zitierten Urteile D-768/2018 und F-3457/2019 lassen sich nicht heranziehen, kann aufgrund der anlässlich des Dublin-Gesprächs geschilderten Vorgeschichte (siehe SEM act. 12) bei einer Wegweisung nach Frankreich doch nicht von einer Re-Traumatisierung ausgegangen werden.</w:t>
      </w:r>
    </w:p>
    <w:p>
      <w:r>
        <w:rPr>
          <w:b/>
        </w:rPr>
        <w:t>E. 8.7</w:t>
      </w:r>
    </w:p>
    <w:p>
      <w:r>
        <w:t>Im Übrigen verfügt Frankreich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Frankreich der Beschwerdeführerin eine adäquate medizinische Behandlung (konkret Fortführung der Medikation, allenfalls psychotherapeutische Betreuung) verweigern würde.</w:t>
      </w:r>
    </w:p>
    <w:p>
      <w:r>
        <w:rPr>
          <w:b/>
        </w:rPr>
        <w:t>E. 8.8</w:t>
      </w:r>
    </w:p>
    <w:p>
      <w:r>
        <w:t>Anzumerken gilt es darüber hinaus, dass die schweizerischen Behörden, die mit dem Vollzug der angefochtenen Verfügung beauftragt sind, den medizinischen Umständen bei der Bestimmung der konkreten Modalitäten der Überstellung der Beschwerdeführenden Rechnung tragen und die französischen Behörden vorgängig in geeigneter Weise über die spezifischen medizinischen Umstände informieren (vgl. Art. 31 f. Dublin-III-VO). Dies ist vorliegend geschehen, sind die jeweiligen Diagnosen (Angststörungen, «andere Angststörungen», Vitamin-D-Mangel, Asthma, Kurzsichtigkeit) in den Überstellungsmodalitäten doch aufgelistet (SEM act. 30).</w:t>
      </w:r>
    </w:p>
    <w:p>
      <w:r>
        <w:rPr>
          <w:b/>
        </w:rPr>
        <w:t>E. 8.9</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8.10</w:t>
      </w:r>
    </w:p>
    <w:p>
      <w:r>
        <w:t>Nach dem Gesagten besteht kein Grund für eine Anwendung der Ermessensklauseln von Art. 17 Dublin-III-VO. Somit bleibt Frankreich der für die Behandlung des Asylgesuches der Beschwerdeführerin zuständige Mitgliedstaat gemäss Dublin-III-VO.</w:t>
      </w:r>
    </w:p>
    <w:p>
      <w:r>
        <w:rPr>
          <w:b/>
        </w:rPr>
        <w:t>E. 9</w:t>
      </w:r>
    </w:p>
    <w:p>
      <w:r>
        <w:t>Das SEM ist demnach zu Recht in Anwendung von Art. 31a Abs. 1 Bst. b AsylG auf das Asylgesuch der Beschwerdeführerin nicht eingetreten. Da sie nicht im Besitz einer gültigen Aufenthalts- oder Niederlassungsbewilligung ist, wurde die Überstellung nach Frankreich in Anwendung von Art. 44 AsylG ebenfalls zu Recht angeordnet (Art. 32 Bst. a AsylV 1).</w:t>
      </w:r>
    </w:p>
    <w:p>
      <w:r>
        <w:rPr>
          <w:b/>
        </w:rPr>
        <w:t>E. 10</w:t>
      </w:r>
    </w:p>
    <w:p>
      <w:r>
        <w:t>Nach dem Gesagten ist die Beschwerde abzuweisen und die Verfügung des SEM zu bestätigen.</w:t>
      </w:r>
    </w:p>
    <w:p>
      <w:r>
        <w:rPr>
          <w:b/>
        </w:rPr>
        <w:t>E. 11</w:t>
      </w:r>
    </w:p>
    <w:p>
      <w:r>
        <w:t>Der am 15. Oktober 2020 angeordnete Vollzugsstopp fällt mit vorliegendem Urteil dahin.</w:t>
      </w:r>
    </w:p>
    <w:p>
      <w:r>
        <w:rPr>
          <w:b/>
        </w:rPr>
        <w:t>E. 12</w:t>
      </w:r>
    </w:p>
    <w:p>
      <w:r>
        <w:t>Das mit der Beschwerde gestellte Gesuch um Gewährung der unentgeltlichen Rechtspflege und Verzicht auf die Erhebung eines Kostenvorschusses ist abzuweisen, da die Begehren - wie sich aus den vorstehenden Erwägungen ergibt - als aussichtslos zu bezeichnen sind, weshalb die Vor-aussetzungen von Art. 65 Abs. 1 VwVG nicht erfüllt sind. Die Verfahrenskosten sind daher der Beschwerdeführerin aufzuerlegen (Art. 63 Abs. 1 VwVG) und auf insgesamt Fr. 750.- festzusetzen (Art. 1 - 3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