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F-5101/2016 vom 5. Juni 2018</w:t>
      </w:r>
    </w:p>
    <w:p>
      <w:r>
        <w:t>Bundesverwaltungsgericht, 2018-06-05, IT</w:t>
      </w:r>
    </w:p>
    <w:p>
      <w:r>
        <w:rPr>
          <w:b/>
        </w:rPr>
        <w:t xml:space="preserve">Quelle: </w:t>
      </w:r>
      <w:r>
        <w:t>https://mcp.opencaselaw.ch/entscheid/bvger_F-5101_2016</w:t>
      </w:r>
    </w:p>
    <w:p>
      <w:r>
        <w:t>FR: TAF F-5101/2016 du 5 juin 2018</w:t>
      </w:r>
    </w:p>
    <w:p>
      <w:r>
        <w:t>IT: TAF F-5101/2016 del 5 giugno 2018</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Ai termini dell'art. 2 cpv. 3 LStr ai cittadini degli Stati membri della Comunità europea ed ai loro familiari si applica l'ALC; la LStr si applica solamente qualora l'ALC non contenga disposizioni derogatorie o qualora la LStr preveda disposizioni più favorevoli.</w:t>
      </w:r>
    </w:p>
    <w:p>
      <w:r>
        <w:rPr>
          <w:b/>
        </w:rPr>
        <w:t>E. 3.2</w:t>
      </w:r>
    </w:p>
    <w:p>
      <w:r>
        <w:t>Giusta l'art. 3 par. 1 e 2 allegato I ALC i membri della famiglia di un cittadino di una parte contraente avente un diritto di soggiorno hanno diritto di stabilirsi con esso. Sono considerati membri della famiglia, qualunque sia la loro cittadinanza, il coniuge e i loro discendenti minori di 21 anni o a carico. Inoltre ai sensi dell'art. 1 par. 1 allegato I ALC (in relazione con l'art. 3 ALC) i cittadini comunitari ed i membri della loro famiglia sono ammessi nel territorio degli Stati membri dietro semplice presentazione di una carta d'identità o di un passaporto validi.</w:t>
      </w:r>
    </w:p>
    <w:p>
      <w:r>
        <w:rPr>
          <w:b/>
        </w:rPr>
        <w:t>E. 3.3</w:t>
      </w:r>
    </w:p>
    <w:p>
      <w:r>
        <w:t>Nel caso concreto il Tribunale ritiene che il ricorrente non possa prevalersi di un diritto derivato ai sensi dell'ALC avendo egli divorziato dalla prima moglie, di cittadinanza anche italiana, ed essendo la sua attuale consorte e la figlia unicamente cittadine dominicane.</w:t>
      </w:r>
    </w:p>
    <w:p>
      <w:r>
        <w:rPr>
          <w:b/>
        </w:rPr>
        <w:t>E. 4.1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4.2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quando essa è stata condannata in uno Stato firmatario per un'infrazione punibile con una pena privativa della libertà superiore ad un anno (cfr. art. 24 par. 2 lett. a regolamento SIS II). Una segnalazione nel SIS comporta di conseguenza il divieto d'entrata in tutti gli Stati membri dello spazio Schengen (cfr. art. 14 cpv. 1 codice frontiere Schengen). Per motivi umanitari o obblighi di diritto internazionale gli Stati parte al citato accordo possono tuttavia autorizzare l'accesso ad una persona iscritta nel SIS (art. 25 par. 1 CAS; e art. 14 cpv. 1 in relazione con l'art. 6 cpv. 5 lett. c codice frontiere Schengen), rispettivamente concedere sulla scorta di tali motivi un visto con validità territoriale limitata (art. 25 par. 1 lett. a [ii] del regolamento [CE] N. 810/2009 del Parlamento europeo e del Consiglio del 13 luglio 2009 che istituisce un codice comunitario dei visti [codice dei visti, GU L 23 del 15 settembre 2009, pagg. 1 a 58]).</w:t>
      </w:r>
    </w:p>
    <w:p>
      <w:r>
        <w:rPr>
          <w:b/>
        </w:rPr>
        <w:t>E. 4.3</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rappresenta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4.4</w:t>
      </w:r>
    </w:p>
    <w:p>
      <w:r>
        <w:t>In particolare l'art. 80 cpv. 1 dell'ordinanza del 24 ottobre 2007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4.5</w:t>
      </w:r>
    </w:p>
    <w:p>
      <w:r>
        <w:t>In virtù del messaggio LStr precitato (FF 2002 3327, pag. 3428) l'emanazione di un divieto d'entrata non deve essere interpretata quale sanzione dal carattere penale, bensì quale misura di protezione di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5</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6.1</w:t>
      </w:r>
    </w:p>
    <w:p>
      <w:r>
        <w:t>Nella fattispecie in disanima, la SEM ha pronunciato nei confronti di A._______ una decisione di divieto d'entrata in Svizzera e nel Liechtenstein della durata di dieci anni, ossia fino al 18 luglio 2026, ritenendo che con il suo agire delittuoso in Svizzera egli abbia gravemente violato l'ordine e la sicurezza pubblici giusta l'art. 67 LStr, vista la condanna pronunciata il 29 settembre 2015 dalla Corte delle assise criminali ad una pena detentiva di due anni e sei mesi per infrazione aggravata alla LStup, riciclaggio di denaro, tentata coazione ripetuta, nonché infrazione alla LStr (soggiorno illegale ed attività lucrativa senza autorizzazione).</w:t>
      </w:r>
    </w:p>
    <w:p>
      <w:r>
        <w:rPr>
          <w:b/>
        </w:rPr>
        <w:t>E. 6.2</w:t>
      </w:r>
    </w:p>
    <w:p>
      <w:r>
        <w:t>I fatti che hanno condotto alla citata sentenza penale, per quanto concerne l'imputazione di infrazione aggravata alla LStup, vertevano su un traffico di complessivi 597,70 grammi di cocaina, commesso nel periodo compreso tra il giugno 2014 ed il 24 marzo 2015. Attorno a quest'attività il ricorrente si è inoltre prodigato in altri atti criminali, in particolare nel medesimo periodo ha riciclato i proventi di detto traffico di stupefacenti per un importo complessivo di fr. 3'298.95, ha minacciato in più occasioni tra il gennaio ed il marzo 2015 un acquirente della cocaina da egli smerciata, ha risieduto illegalmente a F._______ tra l'agosto 2014 ed il 24 marzo 2015 ed ha esercitato delle attività lucrative sprovvisto del necessario permesso in almeno due occasioni.</w:t>
      </w:r>
    </w:p>
    <w:p>
      <w:r>
        <w:rPr>
          <w:b/>
        </w:rPr>
        <w:t>E. 6.3</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7.1</w:t>
      </w:r>
    </w:p>
    <w:p>
      <w:r>
        <w:t>Come rilevato in precedenza (cfr. consid. 4.1 supra)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7.2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pagg. 98 a 107; messaggio del 18 novembre 2009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7.3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op. cit., ad art. 67 LStr, n. marg. 5, pag. 271; Andrea Binder Oser, in Caroni/Gächter/Thurnherr (ed.), Bundesgesetz über die Ausländerinnen und Ausländer [AuG], 2010, ad art. 67 LStr, n. marg. 24, pag. 689).</w:t>
      </w:r>
    </w:p>
    <w:p>
      <w:r>
        <w:rPr>
          <w:b/>
        </w:rPr>
        <w:t>E. 8.1</w:t>
      </w:r>
    </w:p>
    <w:p>
      <w:r>
        <w:t>Dato che l'autorità inferiore nel caso in esame ha pronunciato un divieto d'entrata di durata superiore a cinque anni, va qui di seguito esaminato, prima di procedere ad una ponderazione degli interessi in gioco, se è soddisfatto il criterio della minaccia grave giusta l'art. 67 cpv. 3 2a frase LStr.</w:t>
      </w:r>
    </w:p>
    <w:p>
      <w:r>
        <w:rPr>
          <w:b/>
        </w:rPr>
        <w:t>E. 8.2</w:t>
      </w:r>
    </w:p>
    <w:p>
      <w:r>
        <w:t>Come si è visto i comportamenti penalmente reprensibili ascritti a A._______ riguardavano i reati di infrazione aggravata alla LStup, oltre che di riciclaggio di denaro, di tentata coazione ripetuta, nonché di soggiorno illegale e di attività lucrativa senza autorizzazione. In particolare per quanto concerne l'imputazione di infrazione aggravata alla LStup il ricorrente ha agito sull'arco di un lungo periodo di tempo, ovvero dal giugno 2014 fino all'arresto avvenuto il 24 marzo 2015, fungendo da spacciatore per un quantitativo di oltre mezzo chilogrammo di cocaina, e compiendo altre attività delittuose connesse, che hanno portato alle imputazioni di riciclaggio e di ripetuta tentata coazione. Va inoltre ricordato che l'interessato ha risieduto illegalmente in territorio elvetico sull'arco di più mesi e vi ha esercitato delle attività lucrative senza autorizzazione.</w:t>
      </w:r>
    </w:p>
    <w:p>
      <w:r>
        <w:rPr>
          <w:b/>
        </w:rPr>
        <w:t>E. 8.3</w:t>
      </w:r>
    </w:p>
    <w:p>
      <w:r>
        <w:t>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della sicurezza e dell'ordine pubblici (cfr. sentenza del TF 2C_139/2013 dell'11 giugno 2013 consid. 6.2.3 e riferimenti ivi citati). Inoltre il Tribunale considera che l'ingente quantitativo di cocaina oggetto della condanna del 29 settembre 2015 non può che indurre a pensare che egli non sia un attore secondario nell'ambito del traffico di droga. Dalla lettura della citata sentenza penale si evince inoltre che A._______ si è prodigato in tale attività senza essere consumatore di stupefacenti, dunque non per soddisfare una sua dipendenza, ma unicamente mosso da fini lucrativi.</w:t>
      </w:r>
    </w:p>
    <w:p>
      <w:r>
        <w:rPr>
          <w:b/>
        </w:rPr>
        <w:t>E. 8.4</w:t>
      </w:r>
    </w:p>
    <w:p>
      <w:r>
        <w:t>Alla luce di queste considerazioni, unite agli ulteriori delitti più o meno legati all'attività di traffico di sostanze stupefacenti e rivolti contro altri beni giuridici particolarmente sensibili quali la libertà personale (tentata coazione reiterata), l'amministrazione della giustizia (riciclaggio di denaro), ed in materia migratoria (soggiorno illegale ed attività lucrativa senza autorizzazione), il Tribunale considera che la condotta del ricorrente costituisce un grave pericolo per l'ordine e la sicurezza pubblici, ragione per cui è giustificata l'emanazione di un divieto d'entrata conformemente all'art. 67 cpv. 2 lett. a LStr per una durata superiore a cinque anni giusta l'art. 67 cpv. 3 2a frase LStr.</w:t>
      </w:r>
    </w:p>
    <w:p>
      <w:r>
        <w:rPr>
          <w:b/>
        </w:rPr>
        <w:t>E. 9.1</w:t>
      </w:r>
    </w:p>
    <w:p>
      <w:r>
        <w:t>A fronte di quanto esposto resta ora da stabilire se la durata della misura di allontanamento adottata nei confronti di A._______ sia conforme al principio di proporzionalità e, procedendo ad un apprezzamento degli interessi privati e pubblici in gioco, valutare se sia adeguata alle circostanze del caso di specie.</w:t>
      </w:r>
    </w:p>
    <w:p>
      <w:r>
        <w:rPr>
          <w:b/>
        </w:rPr>
        <w:t>E. 9.2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9.3</w:t>
      </w:r>
    </w:p>
    <w:p>
      <w:r>
        <w:t>Quo all'interesse pubblico all'allontanamento dell'interessato dal territorio elvetico, si è già detto ai considerandi precedenti.</w:t>
      </w:r>
    </w:p>
    <w:p>
      <w:r>
        <w:rPr>
          <w:b/>
        </w:rPr>
        <w:t>E. 9.4</w:t>
      </w:r>
    </w:p>
    <w:p>
      <w:r>
        <w:t>In merito agli interessi privati, il ricorrente si è richiamato principalmente all'art. 8 CEDU, il quale garantisce il diritto al rispetto della vita privata e familiare, sottolineando che la decisione dell'autorità inferiore comporterebbe l'impossibilità di intrattenere i rapporti con la figlia minorenne in tenera età e con la moglie, madre di quest'ultima, entrambe residenti in Svizzera.</w:t>
      </w:r>
    </w:p>
    <w:p>
      <w:r>
        <w:rPr>
          <w:b/>
        </w:rPr>
        <w:t>E. 9.5</w:t>
      </w:r>
    </w:p>
    <w:p>
      <w:r>
        <w:t>L'art. 8 CEDU tutela la vita privata e familiare delle persone. Questa disposizione non garantisce tuttavia il diritto di entrare in un determinato Stato (cfr. in questo senso segnatamente DTF 140 I 145 consid. 3.1; 139 I 330 consid. 2.1 e riferimenti ivi citati).</w:t>
      </w:r>
    </w:p>
    <w:p>
      <w:r>
        <w:rPr>
          <w:b/>
        </w:rPr>
        <w:t>E. 9.6</w:t>
      </w:r>
    </w:p>
    <w:p>
      <w:r>
        <w:t>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9.7</w:t>
      </w:r>
    </w:p>
    <w:p>
      <w:r>
        <w:t>La protezione del diritto al rispetto della vita privata e familiare conferita da questa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 (cfr. anche art. 36 Cost.).</w:t>
      </w:r>
    </w:p>
    <w:p>
      <w:r>
        <w:rPr>
          <w:b/>
        </w:rPr>
        <w:t>E. 9.8</w:t>
      </w:r>
    </w:p>
    <w:p>
      <w:r>
        <w:t>Nel caso concreto il Tribunale costata che effettivamente il ricorrente è marito di B._______, connazionale titolare di un permesso di domicilio in Svizzera, e padre di C._______, minorenne anch'essa residente in territorio elvetico unitamente alla madre. Nondimeno nell'ambito della valutazione della proporzionalità della misura litigiosa e degli interessi in gioco in applicazione del testé citato art. 8 cpv. 2 CEDU e dell'art. 36 Cost. non risulta che il divieto d'entrata emanato il 19 luglio 2016 costituisce un'ingerenza contraria al diritto al rispetto della vita privata e familiare di A._______. L'insorgente non è in effetti mai stato in possesso di un permesso di dimora in Svizzera - una domanda in tal senso, peraltro presentata dopo la pronuncia della decisione qui impugnata, è stata respinta dalla SPOP il 19 maggio 2017 (cfr. lett. O. supra) - e non ha mai convissuto legalmente con la moglie e la figlia. L'impossibilità di vivere con queste ultime non è pertanto data dalla pronuncia della misura querelata, bensì dall'assenza di una valida autorizzazione a risiedere nella Confederazione. Nella valutazione della presente fattispecie non deve nemmeno essere dimenticato che il matrimonio dell'interessato è avvenuto nella Repubblica Dominicana il (...), ovvero successivamente rispetto alle pesanti vicissitudini penali, a seguito delle quali A._______ non poteva ragionevolmente non attendersi a delle ripercussioni in merito alla facoltà di recarsi in Svizzera, ma anche dopo l'emanazione del divieto d'entrata qui litigioso. Nel corso dell'istruttoria l'interessato ha comunque sostenuto che detti legami siano stretti ed effettivamente vissuti, in quanto egli si recherebbe ogni fine-settimana presso le familiari e contribuirebbe al loro mantenimento economico. Dette affermazioni, peraltro non sostenute da alcun elemento probatorio, non permettono di discostarsi dall'apprezzamento della SEM, il Tribunale ritiene infatti che la decisione impugnata non viola il diritto al rispetto della vita privata e familiare del ricorrente. L'assenza di un permesso di dimora in Svizzera ed altri elementi del caso di specie - come ad esempio il fatto che il matrimonio sia stato celebrato nel paese d'origine della coppia quando la loro figlia comune era già nata da oltre un anno - dimostrano che le relazioni familiari potranno ragionevolmente essere mantenute nonostante la misura di allontanamento litigiosa, sia all'estero, sia mediante l'utilizzo dei moderni mezzi di comunicazione. Occorre inoltre ricordare che A._______ avrà la possibilità di richiedere all'autorità inferiore delle sospensioni del divieto d'entrata pronunciato nei suoi confronti (cfr. art. 67 cpv. 5 LStr). Di transenna deve essere altresì osservato che il diritto di presenza del ricorrente in Italia non può essere definito come certo, dato che il motivo per cui un permesso di soggiorno era stato a suo tempo rilasciato - ovvero il ricongiungimento familiare con la prima consorte - risulta essere venuto meno.</w:t>
      </w:r>
    </w:p>
    <w:p>
      <w:r>
        <w:rPr>
          <w:b/>
        </w:rPr>
        <w:t>E. 9.9</w:t>
      </w:r>
    </w:p>
    <w:p>
      <w:r>
        <w:t>Sempre con riferimento al rispetto del principio di proporzionalità il divieto d'entrata pronunciato nei confronti dell'interessato appare giustificato in ragione della gravità degli atti delittuosi commessi e del loro movente di carattere meramente economico.</w:t>
      </w:r>
    </w:p>
    <w:p>
      <w:r>
        <w:rPr>
          <w:b/>
        </w:rPr>
        <w:t>E. 9.10</w:t>
      </w:r>
    </w:p>
    <w:p>
      <w:r>
        <w:t>Dalle considerazioni che precedono risulta come l'interesse pubblico all'allontanamento del ricorrente dalla Svizzera e dal Liechtenstein prevale su quello privato dell'interessato ad entrarvi. Di conseguenza, da una corretta valutazione degli elementi in gioco, emerge che il divieto d'entrata di dieci anni è adeguato alle circostanze del caso concreto.</w:t>
      </w:r>
    </w:p>
    <w:p>
      <w:r>
        <w:rPr>
          <w:b/>
        </w:rPr>
        <w:t>E. 10</w:t>
      </w:r>
    </w:p>
    <w:p>
      <w:r>
        <w:t>Nell'atto ricorsuale del 22 agosto 2016 A._______ ha inoltre sostenuto che l'iscrizione del divieto d'entrata nel SIS comprometterebbe i rapporti con i familiari ed il progetto di vita comune con la moglie e la figlia. Detta censura non permette al Tribunale di giungere ad altra conclusione che l'interesse pubblico all'allontanamento dell'interessato dal territorio della Confederazione e dall'aera Schengen prevalga su quello privato a potervi entrare, visti i motivi esposti ai considerandi precedenti. L'iscrizione dell'interessato nel SIS è, a mente dello scrivente Tribunale, giustificata e proporzionale, visti i fatti ritenuti (cfr. art. 21 e art. 24 par. 2 regolamento SIS II). Nell'ambito dell'implementazione della legislazione Schengen la Svizzera è in effetti chiamata a preservare gli interessi di tutti gli Stati membri (cfr. DTAF 2011/48 consid. 6.1). Fermo restando che ciò, come precedentemente rilevato, non impedisce agli altri Stati parte agli accordi di Schengen di autorizzare l'entrata dell'interessato sul loro territorio per motivi seri, o di emanare nei suoi confronti un visto con validità territoriale limitata (cfr. consid. 4.2 supra).</w:t>
      </w:r>
    </w:p>
    <w:p>
      <w:r>
        <w:rPr>
          <w:b/>
        </w:rPr>
        <w:t>E. 11</w:t>
      </w:r>
    </w:p>
    <w:p>
      <w:r>
        <w:t>Da quanto esposto, discende che la SEM con la decisione del 19 luglio 2016 non ha violato il diritto federale, né abusato del suo potere di apprezzamento; l'autorità intimata non ha accertato in modo inesatto o incompleto i fatti giuridicamente rilevanti ed inoltre la decisione non è inadeguata (art. 49 PA). Per questi motivi il ricorso va respinto.</w:t>
      </w:r>
    </w:p>
    <w:p>
      <w:r>
        <w:rPr>
          <w:b/>
        </w:rPr>
        <w:t>E. 12</w:t>
      </w:r>
    </w:p>
    <w:p>
      <w:r>
        <w:t>Le spese giudiziarie di fr. 1'200.- che seguono la soccombenza sono poste a carico del ricorrente (art. 63 cpv. 1 e 5 PA nonché art. 3 lett. b del regolamento del 21 febbraio 2008 sulle tasse e sulle spese ripetibili nelle cause dinanzi al Tribunale amministrativo federale [TS-TAF, RS 173.320.2]).</w:t>
      </w:r>
    </w:p>
    <w:p>
      <w:r>
        <w:rPr>
          <w:b/>
        </w:rPr>
        <w:t>E. 13</w:t>
      </w:r>
    </w:p>
    <w:p>
      <w:r>
        <w:t>Visto l'esito della procedura, non sono assegnate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