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F-50/2021 vom 31. Mai 2022</w:t>
      </w:r>
    </w:p>
    <w:p>
      <w:r>
        <w:t>Bundesverwaltungsgericht, 2022-05-31, DE</w:t>
      </w:r>
    </w:p>
    <w:p>
      <w:r>
        <w:rPr>
          <w:b/>
        </w:rPr>
        <w:t xml:space="preserve">Quelle: </w:t>
      </w:r>
      <w:r>
        <w:t>https://mcp.opencaselaw.ch/entscheid/bvger_F-50_2021</w:t>
      </w:r>
    </w:p>
    <w:p>
      <w:r>
        <w:t>FR: TAF F-50/2021 du 31 mai 2022</w:t>
      </w:r>
    </w:p>
    <w:p>
      <w:r>
        <w:t>IT: TAF F-50/2021 del 31 maggio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2.1</w:t>
      </w:r>
    </w:p>
    <w:p>
      <w:r>
        <w:t>Der Beschwerdeführer wurde im Jahr (...) in A._______ nach liechtensteinischem Recht errichtet und am (...) als gemeinnütziges Treuunternehmen im Handelsregister des Fürstentums Liechtenstein eingetragen. Seither hatte er seinen Sitz durchgehend in Vaduz, Fürstentum Liechtenstein. Am (...) wurde er aufgelöst. Gleichentags wurde ihm ein Liquidator bestellt. Er befindet sich nun in Liquidation. Am 30. Dezember 2020 erging die Schlussverfügung mit dem Beschwerdeführer als Verfügungsadressat. Im Schriftenwechsel vor dem Bundesverwaltungsgericht stellte die Vorinstanz die Partei- und Prozessfähigkeit des Beschwerdeführers in Frage, weshalb diese vorab zu prüfen sind.</w:t>
      </w:r>
    </w:p>
    <w:p>
      <w:r>
        <w:rPr>
          <w:b/>
        </w:rPr>
        <w:t>E. 2.2.1</w:t>
      </w:r>
    </w:p>
    <w:p>
      <w:r>
        <w:t>Die Vorinstanz macht geltend, eine Gesellschaft habe ab dem Zeitpunkt ihrer Liquidation nur noch den Zweck, die Liquidation abzuwickeln. Einzig im Rahmen dieser Handlungen bleibe sie rechts- und handlungsfähig. Gemäss Rechtsprechung des Bundesverwaltungsgerichts wiesen Amtshilfeverfahren lediglich einen Zusammenhang zur Liquidierung einer Gesellschaft auf, wenn die Informationen, welche über diese Gesellschaft herausgegeben würden, einen materiellen Gegenwert hätten (vgl. Urteil des BVGer A-4044/2015 vom 16. Februar 2016 E. 1.3.4). Die ersuchten Informationen berührten mangels direkter Begründung einer Steuerpflicht keine Vermögensinteressen (vgl. Urteil des BVGer A-4277/2017 vom 11. Oktober 2017 E. 1.2.4) und stünden damit in keinem Zusammenhang mit der Auflösung der Gesellschaft. Es sei daher zweifelhaft, ob der Beschwerdeführer im vorliegenden Verfahren befugt sei zu handeln und damit partei- und prozessfähig sei.</w:t>
      </w:r>
    </w:p>
    <w:p>
      <w:r>
        <w:rPr>
          <w:b/>
        </w:rPr>
        <w:t>E. 2.2.2</w:t>
      </w:r>
    </w:p>
    <w:p>
      <w:r>
        <w:t>Der Beschwerdeführer bringt vor, er sei ein Treuunternehmen mit Sitz im Fürstentum Liechtenstein. Am (...) sei er aufgelöst worden. Gleichentags sei ihm ein Liquidator bestellt worden. Er sei, handelnd durch seinen Liquidator, nach liechtensteinischem Recht rechts- und handlungsfähig, mithin partei- und prozessfähig.</w:t>
      </w:r>
    </w:p>
    <w:p>
      <w:r>
        <w:rPr>
          <w:b/>
        </w:rPr>
        <w:t>E. 2.3.1</w:t>
      </w:r>
    </w:p>
    <w:p>
      <w:r>
        <w:t>Die Beschwerdelegitimation nach Art. 48 Abs. 1 VwVG setzt nebst der formellen und materiellen Beschwer die Partei- und Prozessfähigkeit der betroffenen Person voraus. Die Parteifähigkeit stellt die Fähigkeit dar, im Verfahren unter eigenem Namen als Partei aufzutreten; parteifähig ist, wer rechtsfähig ist. Die Prozessfähigkeit ist die rechtliche Befugnis, in eigenem Namen oder als Vertreter im Verfahren rechtswirksam zu handeln. Sie ist dann gegeben, wenn die parteifähige Person auch handlungsfähig ist (Isabelle Häner, in: Auer/Müller/Schindler [Hrsg.], Kommentar zum VwVG, 2. Aufl. 2019, Art. 48 N. 5 VwVG).</w:t>
      </w:r>
    </w:p>
    <w:p>
      <w:r>
        <w:rPr>
          <w:b/>
        </w:rPr>
        <w:t>E. 2.3.2</w:t>
      </w:r>
    </w:p>
    <w:p>
      <w:r>
        <w:t>Im internationalen Verhältnis beurteilen sich Partei- und Prozessfähigkeit nach dem gleichen Recht wie die Rechts- und die Handlungsfähigkeit. Nach Art. 154 in Verbindung mit Art 155 Bst. c des Bundesgesetzes vom 18. Dezember 1987 über das Internationale Privatrecht (IPRG, SR 291) ist für die Beurteilung der Partei- und Prozessfähigkeit einer juristischen Person das Recht des Landes, nach dessen Vorschriften sie organisiert ist, wenn sie die darin vorgeschriebenen Publizitäts- oder Registrierungsvorschriften dieses Rechts erfüllt oder, falls solche Vorschriften nicht bestehen, wenn sie sich nach dem Recht dieses Staates organisiert hat (Inkorporationstheorie) oder wo sie ihren statutarischen oder effektiven Sitz hat (Sitztheorie), massgebend (vgl. BGE 138 III 714 E. 3.3.3; Urteil des BGer 2C_303/2010 vom 24. Oktober 2011 E. 2.3.1). Der Beschwerdeführer war nach liechtensteinischem Recht organisiert und im Handelsregister des Fürstentums Liechtenstein eingetragen. Für die Beurteilung seiner Partei- und Prozessfähigkeit ist demnach liechtensteinisches Recht anwendbar.</w:t>
      </w:r>
    </w:p>
    <w:p>
      <w:r>
        <w:rPr>
          <w:b/>
        </w:rPr>
        <w:t>E. 2.3.3</w:t>
      </w:r>
    </w:p>
    <w:p>
      <w:r>
        <w:t>Eine Person ist insoweit fähig, selbständig vor Gericht als Partei zu handeln (Prozessfähigkeit), als sie selbständig gültige Verpflichtungen eingehen kann. Das Vorhandensein dieser Verpflichtungsfähigkeit, die Notwendigkeit der Vertretung von Parteien, welchen die Prozessfähigkeit mangelt, sowie das Erfordernis einer besonderen Ermächtigung zur Prozessführung oder zu einzelnen Prozesshandlungen ist, soweit nicht dieses Gesetz abweichende Anordnungen enthält, nach den bestehenden gesetzlichen Bestimmungen zu beurteilen (§ 1 des liechtensteinischen Gesetzes über das gerichtliche Verfahren in bürgerlichen Rechtsstreitigkeiten vom 10. Dezember 1912 [Zivilprozessordnung, LR-Nr. 271.0]). Gemäss Art. 932a § 19 Abs. 1 des liechtensteinischen Personen- und Gesellschaftsrechts vom 20. Januar 1926 [PGR, LR-Nr. 216.0]) sind die Vorschriften über die Liquidation von Verbandspersonen ergänzend anwendbar, wenn das Treuunternehmen - wie vorliegend - aus anderen Gründen als durch Eröffnung des Konkursverfahrens aufgelöst wird. Nach Art. 132 Abs. 1 PGR sind Liquidatoren der Verbandsperson die geschäftsführenden und vertretenden Mitglieder, sofern nicht anderen Personen in den Statuten oder durch einen Beschluss des obersten Organes die Liquidation übertragen wird. Ihnen obliegt die Aufgabe, die Liquidation des Treuunternehmens abzuwickeln, wozu auch die Erfüllung aller Verbindlichkeiten gehört (vgl. Art. 136 Abs. 1 PGR).</w:t>
      </w:r>
    </w:p>
    <w:p>
      <w:r>
        <w:rPr>
          <w:b/>
        </w:rPr>
        <w:t>E. 2.3.4</w:t>
      </w:r>
    </w:p>
    <w:p>
      <w:r>
        <w:t>Der Beschwerdeführer wurde am (...) aufgelöst. Gleichentags wurde ihm ein Liquidator bestellt, welcher im Handelsregister eingetragen ist. Der Liquidator ist für die Abwicklung der Liquidation zuständig und in dieser Funktion der Vertreter des Beschwerdeführers. In den von der Vorinstanz angeführten Urteilen des Bundesverwaltungsgerichts (A-4277/2017 und A-4044/2015) stützen sich die Ausführungen zur Partei- und Prozessfähigkeit auf schweizerisches Recht - nicht auf liechtensteinisches Recht - und es liegt ihnen ein anderer als der vorliegend zu beurteilende Sachverhalt zu Grunde. In jenen Urteilen ging es um die Partei- und Prozessfähigkeit von Gesellschaften in Liquidation, die nicht Adressatinnen des Amtshilfeverfahrens gewesen waren, sondern lediglich Informationen über eine vom Amtshilfeverfahren direkt betroffene Gesellschaft hätten liefern sollen. Es wurde festgestellt, dass die Gesellschaft in Liquidation nicht partei- und prozessfähig sei, da die herauszugebenden Informationen weder einen materiellen Gegenwert hätten noch Vermögensinteressen der Gesellschaft betreffen würden und der Liquidator, welcher nur in Bezug auf die Konkursmasse handlungsfähig sei, somit nicht befugt gewesen sei, sie im Prozess zu vertreten (Urteile A-4277/2017 E. 1.2.3 f.; A-4044/2015 E. 1.3.3 f.). Im vorliegenden Fall ist der Beschwerdeführer indes Adressat der Schlussverfügung. Es geht um die Herausgabe von Kontoinformationen über ihn an Frankreich, welche allenfalls die Grundlage für ein Steuerveranlagungsverfahren gegen den Beschwerdeführer bilden. Die angeforderten Informationen können demnach durchaus einen materiellen Gegenwert haben. Folglich bejaht das Bundesgericht in solchen Fällen in ständiger Rechtsprechung die Beschwerdelegitimation des Bankkontoinhabers (vgl. BGE 139 II 404 E. 2.1.1).</w:t>
      </w:r>
    </w:p>
    <w:p>
      <w:r>
        <w:rPr>
          <w:b/>
        </w:rPr>
        <w:t>E. 2.4</w:t>
      </w:r>
    </w:p>
    <w:p>
      <w:r>
        <w:t>Nach dem Gesagten ist die Partei- und Prozessfähigkeit des nach liechtensteinischem Recht rechtsgültig vertretenen Beschwerdeführers gegeben. Ebenso ist er formell und materiell beschwert. Er ist somit zur Erhebung der Beschwerde legitimiert (Art. 19 Abs. 2 StAhiG, Art. 48 Abs. 1 VwVG). Auf die frist- und formgerecht eingereichte Beschwerde ist einzutreten (Art. 50 Abs. 1 VwVG; Art. 52 Abs. 1 VwVG).</w:t>
      </w:r>
    </w:p>
    <w:p>
      <w:r>
        <w:rPr>
          <w:b/>
        </w:rPr>
        <w:t>E. 3.1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3.2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3.3</w:t>
      </w:r>
    </w:p>
    <w:p>
      <w:r>
        <w:t>Die streitige Schlussverfügung bezieht sich auf das Listenersuchen der DGFP, welches durch das Bundesgericht mit Leitentscheid vom 26. Juli 2019 - gefällt in öffentlicher Beratung und auszugsweise amtlich publiziert als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w:t>
      </w:r>
    </w:p>
    <w:p>
      <w:r>
        <w:rPr>
          <w:b/>
        </w:rPr>
        <w:t>E. 4.1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4.2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4.2.1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4.2.2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5.1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 nicht behindern.</w:t>
      </w:r>
    </w:p>
    <w:p>
      <w:r>
        <w:rPr>
          <w:b/>
        </w:rPr>
        <w:t>E. 5.2</w:t>
      </w:r>
    </w:p>
    <w:p>
      <w:r>
        <w:t>Das Bundesgericht hat in BGE 146 II 150 das Amtshilfeersuchen Frankreichs vom 11. Mai 2016 für zulässig erklärt, womit es implizit auch die Voraussetzungen von Ziff. XI Abs. 3 des Zusatzprotokolls als erfüllt erachtete. Dies wird vom Beschwerdeführern auch nicht bestritten.</w:t>
      </w:r>
    </w:p>
    <w:p>
      <w:r>
        <w:rPr>
          <w:b/>
        </w:rPr>
        <w:t>E. 6.1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Abs. 2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6.2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6.3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7</w:t>
      </w:r>
    </w:p>
    <w:p>
      <w:r>
        <w:t>Der Beschwerdeführer bringt vor, er sei ein gemeinnütziges, aufgelöstes Treuunternehmen mit Sitz in Vaduz, Fürstentum Liechtenstein. Aufgrund seines gemeinnützigen Zwecks unterliege er seit dem 14. Oktober 2013 in Liechtenstein keiner Steuerpflicht mehr. Die ehemals wirtschaftlich Berechtigte C._______ sei am (...) verstorben. An ihre Stelle seien drei gemeinnützige Einrichtungen getreten. Es habe nie ein Bezug zu Frankreich bestanden und er unterliege in Frankreich keiner Steuerpflicht. Als juristische Person mit Sitz in Liechtenstein sei er auch nicht verpflichtet gewesen, den französischen Behörden sein Bankkonto im Sinne von Art. 1649 A des französischen «Code général des impôts» zu deklarieren. Der Domizil-Code betreffend die UBS-Kundenbeziehung Nr. (...) (lautend auf X._______), der auf seine steuerliche Ansässigkeit in Frankreich hindeuten solle, erweise sich somit als offenkundig falsch. Nach der Rechtsprechung des Bundesgerichts sei es im Amtshilfeverfahren die Aufgabe der ersuchten Schweizer Behörde zu prüfen, ob eine Steuerpflicht der von der Amtshilfe betroffenen Person im ersuchenden Staat bestehe. Nur bei einer möglichen Steuerpflicht des Betroffenen in zwei verschiedenen Staaten sei es nicht Aufgabe der Schweizer Behörde, diesen Steuerkonflikt zu lösen, da sie dafür nicht über die nötigen Grundlagen verfüge (BGE 142 II 161; 142 II 218). Die Schweizer Behörden seien im vorliegenden Fall im Besitz aller relevanten Fakten und Beweismittel zur Bestimmung seines steuerlichen Sitzes. Des Weiteren könnte ein steuerrechtlicher Bezug zu Frankreich höchstens im Zusammenhang mit der am (...) verstorbenen, ehemals wirtschaftlich Berechtigten C._______ bestehen. So wäre theoretisch denkbar, dass der Erbfall in Frankreich nicht oder nicht vollständig deklariert worden sei. Gemäss französischem Recht hätte die Revision der rechtskräftigen Steuerveranlagungen aber spätestens sechs Jahre nach dem Todesfall der Erblasserin, in einzelnen Fällen spätestens nach Ablauf des zehnten Jahres nach der letzten Steuerpflicht, erfolgen müssen. Zum heutigen Zeitpunkt sei eine Revision veranlagter Erbschaftssteuern nicht mehr möglich. Von den Nachfolgebegünstigten habe nur eine Einrichtung ihren Sitz in Frankreich; an diese sei aber kein Geld ausgeschüttet worden. Auch in dieser Hinsicht bestehe deshalb kein steuerrechtlicher Anknüpfungspunkt zu Frankreich. Mit der beabsichtigten Übermittlung der in Frage stehenden Informationen würde einem Amtshilfeersuchen Folge geleistet, mit welchem Auskünfte verlangt würden, die offensichtlich nicht zu einer (nachträglichen) Besteuerung im ersuchenden Staat führen würden. Dem Amtshilfeersuchen der DGFP vom 11. Mai 2016 sei deshalb nicht stattzugeben. Dieses stelle im Ergebnis eine «fishing expedition» dar, der gemäss bundesgerichtlicher Rechtsprechung keine Hand zu bieten sei.</w:t>
      </w:r>
    </w:p>
    <w:p>
      <w:r>
        <w:rPr>
          <w:b/>
        </w:rPr>
        <w:t>E. 8.1</w:t>
      </w:r>
    </w:p>
    <w:p>
      <w:r>
        <w:t>Das Bundesgericht hat das Amtshilfeersuchen Frankreichs vom 11. Mai 2016 im Rahmen von BGE 146 II 150 beurteilt und für zulässig erachtet (vgl. Sachverhalt Bst. E.c). Es führte unter anderem aus, das vorliegende Listenersuchen, welches die betroffenen Personen nicht namentlich identifiziere, habe analog zur Handhabung bei Gruppenersuchen drei Kriterien zu erfüllen. Danach müsse die ersuchende Behörde in ihrem Ersuchen (BGE 146 II 150 E. 6.1.3 und E. 6.2): (i) eine detaillierte Beschreibung der Gruppe geben, welche die spezifischen Tatsachen und Umstände beschreibt, die zum Ersuchen geführt haben; (ii) das anwendbare (Steuer-) 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Das Bundesgericht erachtete alle drei Kriterien als erfüllt und hielt hinsichtlich des primär strittigen Kriteriums (ii) fest, das Amtshilfeersuchen nenne hinreichend konkrete Verdachtsmomente für ein steuerrechtswidriges Verhalten der Personen hinter den Listen B und C und damit der von den acht Schlussverfügungen betroffenen Personen. Es liege keine «fishing expedition» vor und die voraussichtliche Erheblichkeit der ersuchten Informationen sei zu bejahen (BGE 146 II 150 E. 6.3). Aufgrund der höchstrichterlichen Klärung der Frage der Zulässigkeit des Amtshilfeersuchens und deren präjudiziellen Bedeutung für das vorliegende Verfahren bleibt für das Bundesverwaltungsgericht grundsätzlich kein Raum, die Amtshilfe in Abweichung zu den Erwägungen des Bundesgerichts zu verweigern. Nachfolgend ist daher einzig auf das individuelle Vorbringen des Beschwerdeführers für eine Amtshilfeverweigerung - eine fehlende Steuerpflicht in Frankreich - einzugehen (vgl. E. 3.3).</w:t>
      </w:r>
    </w:p>
    <w:p>
      <w:r>
        <w:rPr>
          <w:b/>
        </w:rPr>
        <w:t>E. 8.2.1</w:t>
      </w:r>
    </w:p>
    <w:p>
      <w:r>
        <w:t>Der Beschwerdeführer hält den Domizil-Code betreffend die UBS-Kundebeziehung Nr. (...) (lautend auf X._______) für offensichtlich falsch, da er keine Anknüpfungspunkte zu Frankreich habe.</w:t>
      </w:r>
    </w:p>
    <w:p>
      <w:r>
        <w:rPr>
          <w:b/>
        </w:rPr>
        <w:t>E. 8.2.2</w:t>
      </w:r>
    </w:p>
    <w:p>
      <w:r>
        <w:t>Der Bezug zu Frankreich wird vorliegend durch die in den UBS-Listen aufgeführten Domizil-Codes hergestellt. Indem das Bundesgericht das vorliegende Amtshilfeersuchen vom 11. Mai 2016 als zulässig beurteilt hat, hat es implizit auch den Domizil-Code als hinreichenden Anknüpfungspunkt für eine mögliche Steuerpflicht in Frankreich (für die Jahre 2010 bis 2015) qualifiziert. Der Beschwerdeführer beziehungsweise seine individuelle Banknummer befand sich unbestrittenermassen auf den UBS-Listen, und zwar in Verbindung mit dem Domizil-Code für Frankreich. Die Steuerbefreiung im Fürstentum Liechtenstein ab dem Jahr 2013 bedeutet nicht, dass der Beschwerdeführer in Frankreich für den ersuchten Zeitraum ebenfalls steuerbefreit war. Des Weiteren ist die ehemals am Beschwerdeführer wirtschaftlich Berechtigte am (...) verstorben. Gemäss der Todesbescheinigung des Zivilstandsamts D._______, Frankreich, war sie im Jahr 2008 in Frankreich wohnhaft. Damit ist ein steuerrechtlicher Anknüpfungspunkt zu Frankreich gegeben. Selbst ein nachgewiesener Wohnsitz ausserhalb Frankreichs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(Urteil des BGer 2C_953/2020 vom 24. November 2021 E. 3.5 mit Hinweisen auf BGE 142 II 161 und 142 II 218). Soweit der Beschwerdeführer vorbringt, eine allfällige Besteuerung des Erbgangs in Frankreich mittels Revision der Steuerveranlagung sei aufgrund der Verjährung ausgeschlossen,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Folglich sind die Schweizer Behörden im Rahmen der Beurteilung der voraussichtlichen Erheblichkeit der zu übermittelnden Informationen nicht gehalten zu prüfen, ob eine Revision der Steuerveranlagung der wirtschaftlich Berechtigten nach französischem Recht zeitlich noch möglich ist. Damit ist auch unter diesem Gesichtspunkt von der voraussichtlichen Erheblichkeit der zur Übermittlung vorgesehenen Informationen betreffend den Beschwerdeführer auszugehen; es liegt keine «fishing expedition» vor.</w:t>
      </w:r>
    </w:p>
    <w:p>
      <w:r>
        <w:rPr>
          <w:b/>
        </w:rPr>
        <w:t>E. 9</w:t>
      </w:r>
    </w:p>
    <w:p>
      <w:r>
        <w:t>Nach dem Gesagten sind die Voraussetzungen für die in der Schlussverfügung vom 3. Dezember 2020 vorgesehene Amtshilfeleistung erfüllt. Die Beschwerde ist abzuweisen.</w:t>
      </w:r>
    </w:p>
    <w:p>
      <w:r>
        <w:rPr>
          <w:b/>
        </w:rPr>
        <w:t>E. 10.1</w:t>
      </w:r>
    </w:p>
    <w:p>
      <w:r>
        <w:t>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10.2</w:t>
      </w:r>
    </w:p>
    <w:p>
      <w:r>
        <w:t>Dem unterliegenden Beschwerdeführer ist keine Parteientschädigung zuzusprechen (Art. 64 Abs. 1 VwVG e contrario und Art. 7 Abs. 1 VGKE e contrario).</w:t>
      </w:r>
    </w:p>
    <w:p>
      <w:r>
        <w:rPr>
          <w:b/>
        </w:rPr>
        <w:t>E. 11</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