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F-5094/2014 vom 15. Juli 2016</w:t>
      </w:r>
    </w:p>
    <w:p>
      <w:r>
        <w:t>Bundesverwaltungsgericht, 2016-07-15, DE</w:t>
      </w:r>
    </w:p>
    <w:p>
      <w:r>
        <w:rPr>
          <w:b/>
        </w:rPr>
        <w:t xml:space="preserve">Quelle: </w:t>
      </w:r>
      <w:r>
        <w:t>https://mcp.opencaselaw.ch/entscheid/bvger_F-5094_2014</w:t>
      </w:r>
    </w:p>
    <w:p>
      <w:r>
        <w:t>FR: TAF F-5094/2014 du 15 juillet 2016</w:t>
      </w:r>
    </w:p>
    <w:p>
      <w:r>
        <w:t>IT: TAF F-5094/2014 del 15 luglio 2016</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i.V.m.Art.31 ff. VGG). Dieses entscheidet endgültig (Art. 83 Bst. c Ziff. 1 BGG).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beanstandet eine Verletzung des rechtlichen Gehörs. Auf diese Rüge ist vorweg einzugehen.</w:t>
      </w:r>
    </w:p>
    <w:p>
      <w:r>
        <w:rPr>
          <w:b/>
        </w:rPr>
        <w:t>E. 3.1</w:t>
      </w:r>
    </w:p>
    <w:p>
      <w:r>
        <w:t>Die angefochtene Verfügung, so der Beschwerdeführer, stelle einen tiefgreifenden Einschnitt in sein Recht auf Familienleben dar. Dementsprechend sorgfältig hätte die Begründung ausfallen müssen. Insbesondere hätte sich die Vorinstanz vertieft mit seiner im Rahmen des rechtlichen Gehörs verfassten Stellungnahme auseinandersetzen müssen. Dies sei offensichtlich unterblieben, ansonsten nicht die Behauptung aufgestellt worden wäre, im Rahmen der Wahrung des rechtlichen Gehörs seien "keine überwiegenden privaten Interessen" geltend gemacht worden. Tatsächlich sei die Begründung "äusserst" kurz ausgefallen. Eine Auseinandersetzung mit seinen Vorbringen im Rahmen des rechtlichen Gehörs sei praktisch nicht vorhanden. Die Vorinstanz unterlasse es vollständig, auf die Tatsache einzugehen, dass er Familienvater und Ehemann sei, dem durch das Einreiseverbot vollständig verunmöglicht werde, am Leben seiner Tochter und seiner Ehefrau teilzunehmen. Auch die vorgebrachte Lebensänderung und die dadurch weggefallene Gefährdung der öffentlichen Sicherheit und Ordnung bleibe ungeprüft und eine Auseinandersetzung damit fehle in der Begründung vollständig. Ebenfalls fehle eine Begründung der Massnahmedauer von fünf Jahren. Das alles sei, so der Beschwerdeführer, als eine nicht heilbare Missachtung des rechtlichen Gehörs durch Verletzung der Begründungspflicht zu werten.</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übergangen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 Lorenz Kneubühler, Die Begründungspflicht, 1998, S. 26 ff. u. 178 ff.; Michele Albertini, Der verfassungsmässige Anspruch auf rechtliches Gehör im Verwaltungsverfahren des modernen Staates, 2000, S. 369 u. S. 404 m.H.).</w:t>
      </w:r>
    </w:p>
    <w:p>
      <w:r>
        <w:rPr>
          <w:b/>
        </w:rPr>
        <w:t>E. 3.3</w:t>
      </w:r>
    </w:p>
    <w:p>
      <w:r>
        <w:t>Die Vorinstanz führt zur Begründung des Einreiseverbots aus, der Beschwerdeführer sei mit Urteil des Obergerichts Aargau vom 27. Mai 2010 wegen Zuwiderhandlung gegen das Betäubungsmittelgesetz, Erleichterns des rechtswidrigen Aufenthaltes, mehrfacher Geldwäscherei und Verletzung der Verkehrsregeln zu einer Freiheitsstrafe von 4 Jahren, einer Geldstrafe von 100 Tagessätzen zu je Fr. 80.- und einer Busse von Fr. 300.- verurteilt worden. Mit Verfügung vom 3. Oktober 2011 sei die Aufenthaltsbewilligung des Beschwerdeführers nicht mehr verlängert und sei er aus der Schweiz weggewiesen worden. Angesichts des schweren Verstosses und der damit einhergehenden Gefährdung der öffentlichen Sicherheit und Ordnung sei der Erlass einer Fernhaltemassnahme im Sinne von Art. 67 AuG angezeigt. Private Interessen, die das öffentliche Interesse an künftigen kontrollierten Einreisen überwiegen könnten, ergäben sich weder aus den Akten, noch seien solche im Rahmen des am 30. Juli 2014 gewährten rechtlichen Gehörs geltend gemacht worden. Ein auf fünf Jahre befristetes Einreiseverbot sei vorliegend angemessen und entspreche der geltenden Praxis. In Bezug auf die familiäre Situation stehe dem Bescherdeführer allenfalls die Möglichkeit offen, aus wichtigen Gründen mittels begründetem Gesuch die vorübergehende Suspension der Fernhaltemassnahme zu beantragen (Art. 67 Abs. 5 AuG). Zudem könne der Kontakt zwischen ihm und seinen in der Schweiz lebenden Verwandten auch auf andere Weise als durch Besuche in der Schweiz gepflegt werden (z.B. mit Briefverkehr, Emails, Telefonaten, Videotelefonie). Die darüber hinausgehenden zusätzlichen Erschwernisse habe sich der Beschwerdeführer selber zuzurechnen.</w:t>
      </w:r>
    </w:p>
    <w:p>
      <w:r>
        <w:rPr>
          <w:b/>
        </w:rPr>
        <w:t>E. 3.4</w:t>
      </w:r>
    </w:p>
    <w:p>
      <w:r>
        <w:t>Aus diesen Erwägungen war für den Beschwerdeführer ersichtlich, dass und aus welchen Gründen die Vorinstanz von einem Verstoss gegen die öffentliche Sicherheit und Ordnung und deren Gefährdung ausging und wie sie die vorgebrachten privaten Interessen des Beschwerdeführers bewertete, soweit ihnen nicht durch die Möglichkeit von Suspensionen des Einreiseverbots bzw. auf andere Weise als durch Besuche in der Schweiz Rechnung getragen werden konnte. Spätestens aufgrund der Ausführungen der Vorinstanz in ihrer Vernehmlassung musste dem Beschwerdeführer ferner klar geworden sein, dass die Befristung der Massnahme auf die für schwere Betäubungsmitteldelikte unüblich kurze Dauer von fünf Jahren das Ergebnis dieser Bewertung der privaten Interessen war. Eine einfache Konsultation der veröffentlichten Rechtsprechung des Bundesverwaltungsgerichts hätte ihn schon vorher zu dieser Erkenntnis führen können (vgl. etwa Urteile des BVGer C-5539/2014 vom 14.04.2016, C-3678/2013 vom 19.11.2015, C-2975/2014 vom 18.09.2015, C-266/2015 vom 05.08.2015 und C-3774/2014 vom 05.08.2014). Insgesamt war es dem Beschwerdeführer denn auch möglich, sachgerecht und vollständig gegen die vor­instanzliche Verfügung zu argumentieren. Die Rüge der Verletzung der Begründungspflicht ist demzufolge zurückzuweisen.</w:t>
      </w:r>
    </w:p>
    <w:p>
      <w:r>
        <w:rPr>
          <w:b/>
        </w:rPr>
        <w:t>E. 4.1</w:t>
      </w:r>
    </w:p>
    <w:p>
      <w:r>
        <w:t>Das SEM kann Einreiseverbote unter anderem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unlängst entschieden, dass alle Einreiseverbote, die gestützt auf Art. 67 Abs. 1 und 2 AuG ergehen, auf eine bestimmte Dauer zu befristen sind. Die Verbotsdauer kann dabei fünf Jahre überschreiten und bis maximal 15 Jahre, im Wiederholungsfall 20 Jahre betragen (vgl. BVGE 2014/20). Aus humanitären Gründen kann von der Verhängung eines Einreiseverbots abgesehen oder ein solches vorübergehend aufgehoben werden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 5602/2012 vom 16. Januar 2015 E. 6.1 m.H.).</w:t>
      </w:r>
    </w:p>
    <w:p>
      <w:r>
        <w:rPr>
          <w:b/>
        </w:rPr>
        <w:t>E. 5.1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5.2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6.1</w:t>
      </w:r>
    </w:p>
    <w:p>
      <w:r>
        <w:t>Mit Urteil des Obergerichts des Kantons Aargau vom 27. Mai 2010 wurde der Beschwerdeführer wegen qualifizierter Widerhandlung gegen das Betäubungsmittelgesetz, mehrfacher Geldwäscherei, Erleichterns des illegalen Aufenthalts und Nichtbeherrschens des Fahrzeugs schuldig gesprochen und zu 4 ½ Jahren Freiheitsstrafe, 100 Tagessätzen Geldstrafe zu Fr. 80.- und einer Busse von Fr. 300.- verurteilt. Dem Urteil lag folgender Sachverhalt zugrunde: Der Beschwerdeführer übernahm als Mitglied einer international tätigen Drogenbande zwischen Januar 2005 und Juni 2005 insgesamt vier Kilogramm Heroin mit einem Reinheitsgrad von 30%, entsprechend einer reinen Heroinmenge von 1.2 Kilogramm, gab die Drogen weiter und transportierte den Erlös aus dem Drogenhandel. Ferner beherbergte er vom 1. November 2006 bis 16. Januar 2007 einen illegal anwesenden, mit einer Einreisesperre belegten und wegen Drogenhandels zur Verhaftung ausgeschriebenen serbischen Staatsangehörigen und verursachte am 8. Dezember 2006 einen Selbstunfall. Zum Verschulden führte das Gericht aus, der Beschwerdeführer habe innert kurzer Zeit und auf einer zentralen hierarchischen Stufe aus rein finanziellen Motiven eine erhebliche Menge Heroin umgesetzt und sei zudem aktiv am Gewinntransfer beteiligt gewesen. Er habe eine grosse deliktische Energie offenbart, die zusätzlich durch den Umstand betont werde, dass er seine Ehefrau und seine Schwiegermutter als Drogengeld-Kuriere involviert habe. Zwar sei ihm die Unbescholtenheit seit den Drogendelikten im Frühjahr 2005 zugute zu halten. Zu seinen Lasten gehe jedoch, dass er im Zeitpunkt seiner Delinquenz sozial bereits gut integriert gewesen und mit seiner Ehefrau über ein gutes Einkommen verfügt habe, das ihm ein deliktsfreies Fortkommen leicht gemacht hätte.</w:t>
      </w:r>
    </w:p>
    <w:p>
      <w:r>
        <w:rPr>
          <w:b/>
        </w:rPr>
        <w:t>E. 6.2</w:t>
      </w:r>
    </w:p>
    <w:p>
      <w:r>
        <w:t>Es bedarf keiner weiteren Begründung, dass das vom Obergericht des Kantons Aargau abgeurteilte Fehlverhalten des Beschwerdeführer als schwerer Verstoss gegen die öffentliche Sicherheit und Ordnung im Sinne von Art. 67 Abs. 2 Bst. a erster Halbsatz AuG zu werten ist. Ferner kann nicht ernsthaft in Abrede gestellt werden, dass vom Beschwerdeführer zum Zeitpunkt des obergerichtlichen Urteils nicht nur eine einfache Gefahr für die öffentliche Sicherheit und Ordnung gemäss Art. 67 Abs. 2 Bst. a zweiter Halbsatz AuG ausging, sondern dass diese Gefahr im Sinne von Art. 67 Abs. 3 AuG schwerwiegend war. Diese Einschätzung gründet sich auf die Hochwertigkeit der verletzten Rechtsgüter, die auch ein geringes Restrisiko nicht zulässt (vgl. dazu etwa BGE 139 I 145 E. 2.5 m.H.), und die Schwere der Schuld, die der Beschwerdeführer sozusagen aus dem Stand heraus, ohne erkennbaren Werdegang und ohne einen nachvollziehbaren Grund auf sich lud. Dass der Beschwerdeführer in den fünf Jahren, die zwischen den im Frühjahr 2005 begangenen Drogendelikten und der Verurteilung durch das Obergericht liegen, nicht durch einschlägige Delinquenz auffiel, trifft zwar zu, ist jedoch nicht ausschlaggebend. Der Beschwerdeführer hatte im Frühjahr 2005 unter Beweis gestellt, dass er ohne erkennbare Anzeichen zu schwerer Delinquenz fähig ist. Hinzu tritt, dass er auch später Kontakte zur Drogenszene unterhielt, wie die monatelange illegale Unterbringung eines wegen Drogendelikten gesuchten Landsmannes zeigt, und dass er im Übrigen unter dem Druck eines hängigen Strafverfahrens stand, was sein augenscheinliches Wohlverhalten ganz erheblich relativiert.</w:t>
      </w:r>
    </w:p>
    <w:p>
      <w:r>
        <w:rPr>
          <w:b/>
        </w:rPr>
        <w:t>E. 6.3</w:t>
      </w:r>
    </w:p>
    <w:p>
      <w:r>
        <w:t>Zur Entwicklung der Gefährdungslage nach dem obergerichtlichen Urteil von Mai 2010 ist zu bemerken, dass sich der Beschwerdeführer vom 14. September 2011 bis zu seiner bedingten Entlassung per 28. August 2014 im Strafvollzug befand. Am gleichen Tag verliess er die Schweiz. Den Akten kann entnommen werden, dass dem Beschwerdeführer während der Zeit des Strafvollzugs ein gutes Verhalten attestiert wurde. Es gab weder Verwarnungen noch Disziplinarstrafen. Auch die über insgesamt 50 Beziehungsurlaube und Besuchsgänge verliefen problemlos. Zudem schloss der Beschwerdeführer während des Strafvollzugs eine Ausbildung zum Küchenangestellten erfolgreich ab (Verfügung des Amts für Strafvollzug des Kantons Aargau vom 21. Juli 2014, AG-act. 337). Alle diese Elemente sprechen sicherlich zu Gunsten des Beschwerdeführers. Im ausländerrechtlichen Administrativverfahren kommt jedoch weder der guten Führung während des Strafvollzugs noch der bedingten Entlassung aus dem Strafvollzug eine ausschlaggebende Bedeutung zu (vgl. dazu eingehend BGE 137 II 233 E. 5.2.2 m.H.). Aus spezifisch ausländerrechtlicher Perspektive ist entscheidend, dass die seit der Verurteilung im Mai 2010 verstrichene Zeit nicht schon den Schluss zulässt, die beim Beschwerdeführer zuvor bejahte qualifizierte Gefährdung sei inzwischen weggefallen. Denn zwischen September 2011 und August 2014 befand er sich im Strafvollzug, also in Unfreiheit. Seither weilt er erst zwei Jahre im Ausland, in denen sich seine Lebensumstände nach eigenen Angaben zwar zu stabilisieren scheinen. Diese Zeit ist jedoch zu kurz, um angesichts seiner schweren Delinquenz verlässliche Schlüsse auf eine grundsätzliche Wendung zum Besseren ziehen zu können. Es tritt hinzu, dass sich der Beschwerdeführer in der Zeit zwischen dem Strafurteil und dem Antritt des Strafvollzuges nicht anstandslos verhielt. Wegen (Todes-)Drohung und Beschimpfung wurde er in ein Strafverfahren einbezogen. Zu einer Verurteilung kam es offensichtlich nur deshalb nicht, weil sich der Beschwerdeführer im Rahmen einer Konfrontationseinvernahme für seine Äusserungen entschuldigte und der Geschädigte daraufhin seinen Strafantrag zurückzog (Einstellungsverfügung der Staatsanwaltschaft Baden vom 19. Juli 2012, AG-act. 325).</w:t>
      </w:r>
    </w:p>
    <w:p>
      <w:r>
        <w:rPr>
          <w:b/>
        </w:rPr>
        <w:t>E. 6.4</w:t>
      </w:r>
    </w:p>
    <w:p>
      <w:r>
        <w:t>Als Zwischenergebnis ist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7</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7.1</w:t>
      </w:r>
    </w:p>
    <w:p>
      <w:r>
        <w:t>Vom Beschwerdeführer geht, wie weiter oben ausgeführt wurde, eine schwerwiegende Gefahr für die öffentliche Sicherheit und Ordnung in einem besonders sensitiven Bereich aus. Darauf wurde bereits eingegangen, sodass an dieser Stelle auf weitere Erörterungen verzichtet werden kann. Entsprechend gross ist das Interesse an einer langjährigen Fernhaltung des Beschwerdeführers. Gleichwohl können bei der Gewichtung des öffentlichen Interesses der Zeitablauf, das Wohlverhalten des Beschwerdeführers während und ausserhalb des Strafvollzugs sowie seine bedingte Entlassung nicht ausser Acht gelassen werden.</w:t>
      </w:r>
    </w:p>
    <w:p>
      <w:r>
        <w:rPr>
          <w:b/>
        </w:rPr>
        <w:t>E. 7.2</w:t>
      </w:r>
    </w:p>
    <w:p>
      <w:r>
        <w:t>Der Beschwerdeführer beruft sich demgegenüber auf das in Art. 8 EMRK und Art. 13 Abs. 1 BV verankerte Recht auf Familienleben, ferner auf das Kindeswohl. Seine Ehefrau und das gemeinsame Kind seien Schweizer Bürger, deren Lebensmittelpunkt in der Schweiz liege und denen es nicht zugemutet werden könne, ihm in sein Heimatland Serbien zu folgen. Die angefochtene Massnahme verunmögliche das Familienleben vollständig. Es wäre ihm nicht möglich, den wichtigen Ereignissen im Leben seiner Tochter beizuwohnen. Zudem könne der alleinerziehenden Mutter nicht zugemutet werden, jedes Jahr für fünf Wochen nach Serbien zu reisen - sofern überhaupt genügend Geld für solche Reisen vorhanden sei - um ihn zu besuchen und ein Familienleben zu führen. Daran ändere auch die Tatsache nichts, dass er grundsätzlich die Möglichkeit habe, mittels begründetem Gesuch eine Suspension der Fernhaltemassnahme im Sinne von Art. 67 Abs. 5 AuG zu beantragen. Im Gegensatz zur Möglichkeit, im Rahmen eines Besuchsaufenthaltes, der zumindest 90 Tage im Bezugsraum von 180 Tagen zulasse, würde die Suspension wohl weit weniger gemeinsame Tage der Familie zulassen. Zudem sei es nicht immer vorhersehbar, ob wichtige Ereignisse im Leben der Tochter bevorstünden, vielmehr könne jeden Tag ein solches Ereignis eintreffen. Ohne das Einreiseverbot wäre es ihm in beschränktem Rahmen möglich, Teil des Lebens seiner Tochter zu sein und an wichtigen Ereignissen teilzuhaben. Nach Ablauf des Einreiseverbots werde die Tochter bereits 11 Jahre alt sein. Die wichtigsten Schritte in deren Leben hätte er verpasst, und weder die kurzen Ferienaufenthalte noch die Suspension könnten dies kompensieren. Es müsse einem Vater möglich sei, insbesondere mit Blick auf das Kindeswohl, am Leben der Tochter teilzunehmen.</w:t>
      </w:r>
    </w:p>
    <w:p>
      <w:r>
        <w:rPr>
          <w:b/>
        </w:rPr>
        <w:t>E. 7.3</w:t>
      </w:r>
    </w:p>
    <w:p>
      <w:r>
        <w:t>Es steht ausser Frage, dass das Einreiseverbot das Recht der Beteiligten auf ein von staatlichen Eingriffen ungestörtes Familienleben berührt. Bei der Beurteilung der Eingriffsschwere ist zu berücksichtigen, dass ein auf Dauer angelegtes Familienleben in der Schweiz bereits am Fehlen einer Aufenthaltsbewilligung scheitert (vgl. dazu BVGE 2013/4 E. 7.4.1). Das Einreiseverbot berührt das Familienleben nur soweit, als es nicht genügt, dass der Beschwerdeführer die allgemeinen Einreisevoraussetzungen erfüllt, will er seine Ehefrau und seine Tochter in der Schweiz besuchen. Er muss darüber hinaus eine Suspension des Einreiseverbots einholen, die nur aus wichtigen Gründen und im Allgemeinen nur für kurze, klar begrenzte Zeit gewährt wird (Art. 67 Abs. 5 AuG). Gegenseitigen Besuchen ausserhalb des Schengen-Raums und namentlich in Serbien stehen keine Hindernisse entgegen. Daneben haben die Beteiligten stets die Möglichkeit, den Kontakt auch mittels Telefon und modernen Kommunikationsmitteln aufrechterhalten. Die Behinderung des Familienlebens durch die Unterstellung von zeitlich befristeten Aufenthalten in der Schweiz unter das Kontrollregime des Einreiseverbots wiegt angesichts der dargestellten Umstände nicht besonders schwer. Hinzu tritt, dass der Beschwerdeführer und seine Ehefrau aus demselben Kulturkreis stammen und die Ehefrau sich als Geldkurierin in die schweren Straftaten des Beschwerdeführers involvieren liess (AG-act. 130, 135) und von der Delinquenz des Beschwerdeführers finanziell profitierte (AG-act. 129). Das gemeinsame Kind der Eheleute befindet sich mit acht Jahren noch in einem anpassungsfähigen Alter. Ehefrau und Tochter wäre es unter diesen Umständen nicht schlichtweg unzumutbar, dem Beschwerdeführer ins Ausland zu folgen und dort die Familieneinheit wiederherzustellen. Gesamthaft bestehen daher zwar beachtliche private Interessen daran, bei Einreisen in die Schweiz keiner besonderen Kontrolle unterworfen zu werden. Von besonderem Gewicht sind sie jedoch nicht.</w:t>
      </w:r>
    </w:p>
    <w:p>
      <w:r>
        <w:rPr>
          <w:b/>
        </w:rPr>
        <w:t>E. 7.4</w:t>
      </w:r>
    </w:p>
    <w:p>
      <w:r>
        <w:t>Eine wertende Gewichtung der sich gegenüberstehenden öffentlichen und privaten Interessen führt das Bundesverwaltungsgericht zum Ergebnis, dass das Einreiseverbot von fünf Jahren Dauer eine verhältnismässige und angemessene Massnahme zum Schutz der öffentlichen Sicherheit und Ordnung darstellt. Mit der Befristung der Massnahme auf fünf Jahre wurde den Besonderheiten des Falles (Zeitablauf, Wohlverhalten, familiäre Bindungen zur Schweiz) ausreichend Rechnung getragen. Die damit einhergehende Erschwerung des Familienlebens wird durch das öffentliche Fernhalteinteresse gedeckt und ist daher nach Massgabe von Art. 8 Ziff. 2 EMRK und Art. 36 BV gerechtfertigt. Eine Verletzung des Rechts auf Familienleben gemäss Art. 8 Ziff. 1 BV und Art. 13 Abs. 1 BV kann in der Massnahme nicht erkannt werden.</w:t>
      </w:r>
    </w:p>
    <w:p>
      <w:r>
        <w:rPr>
          <w:b/>
        </w:rPr>
        <w:t>E. 8</w:t>
      </w:r>
    </w:p>
    <w:p>
      <w:r>
        <w:t>Es ist angesichts der schweren Delinquenz nicht zu beanstanden und wird vom Beschwerdeführer auch nicht gerügt, dass die Vorinstanz die Ausschreibung des Einreiseverbots im SIS II angeordnet hat (vgl. dazu E. 5).</w:t>
      </w:r>
    </w:p>
    <w:p>
      <w:r>
        <w:rPr>
          <w:b/>
        </w:rPr>
        <w:t>E. 9</w:t>
      </w:r>
    </w:p>
    <w:p>
      <w:r>
        <w:t>Aus den vorstehenden Erwägungen ergibt sich, dass die angefochtene Verfügung rechtmässig ist (Art. 49 VwVG). Die Beschwerde ist demzufolge abzuweisen.</w:t>
      </w:r>
    </w:p>
    <w:p>
      <w:r>
        <w:rPr>
          <w:b/>
        </w:rPr>
        <w:t>E. 10</w:t>
      </w:r>
    </w:p>
    <w:p>
      <w:r>
        <w:t>Bei diesem Ausgang des Verfahrens sind dem Beschwerdeführer die Kosten aufzuerlegen (Art. 63 Abs. 1 VwVG i.V.m. Art. 1 ff. des Reglements vom 21. Februar 2008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