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F-5090/2018 vom 27. März 2019</w:t>
      </w:r>
    </w:p>
    <w:p>
      <w:r>
        <w:t>Bundesverwaltungsgericht, 2019-03-27, FR</w:t>
      </w:r>
    </w:p>
    <w:p>
      <w:r>
        <w:rPr>
          <w:b/>
        </w:rPr>
        <w:t xml:space="preserve">Quelle: </w:t>
      </w:r>
      <w:r>
        <w:t>https://mcp.opencaselaw.ch/entscheid/bvger_F-5090_2018</w:t>
      </w:r>
    </w:p>
    <w:p>
      <w:r>
        <w:t>FR: TAF F-5090/2018 du 27 mars 2019</w:t>
      </w:r>
    </w:p>
    <w:p>
      <w:r>
        <w:t>IT: TAF F-5090/2018 del 27 marzo 2019</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Ayant initié, comme personne invitante, la procédure d'opposition devant le SEM, l'intéressé a qualité pour recourir (art. 48 al. 1 PA ; cf., dans le même sens, arrêt du TAF F-6333/2017 du 13 juillet 2018 consid. 1.3). Présentés dans la forme et les délais prescrits par la loi, ses recours sont recevables (cf. art. 50 et 52 PA).</w:t>
      </w:r>
    </w:p>
    <w:p>
      <w:r>
        <w:rPr>
          <w:b/>
        </w:rPr>
        <w:t>E. 2</w:t>
      </w:r>
    </w:p>
    <w:p>
      <w:r>
        <w:t>Le 1er janvier 2019, la loi sur les étrangers du 16 décembre 2005 (LEtr, RS 142.20) a connu une modification partielle comprenant également un changement de sa dénomination (modification de la LEtr du 16 décembre 201,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 (cf. arrêt du TAF F-2068/2018 du 1er février 2019 consid. 2).</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(cf. ATAF 2014/1 consid. 2).</w:t>
      </w:r>
    </w:p>
    <w:p>
      <w:r>
        <w:rPr>
          <w:b/>
        </w:rPr>
        <w:t>E. 4</w:t>
      </w:r>
    </w:p>
    <w:p>
      <w:r>
        <w:t>La politique des autorités suisses en matière de visa joue un rôle très important dans la prévention de l'immigration clandestine (cf. à ce sujet le Message du Conseil fédéral [ci-après :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F-6668/2015 du 3 novembre 2016 consid. 3.1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5.1</w:t>
      </w:r>
    </w:p>
    <w:p>
      <w:r>
        <w:t>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2 al. 1 de l'ancienne ordonnance du 22 octobre 2008 sur l'entrée et l'octroi de visas (aOEV, RS 142.204) - respectivement l'art. 3 al. 1 de la nouvelle ordonnance du 15 août 2018 sur l'entrée et l'octroi de visas (OEV, RS 142.204), entrée en vigueur le 15 septembre 2018 (cf. art. 70 OEV [disposition transitoire] et 71 OEV) et ne se distinguant pas matériellement de sa version antérieure sur ce point - renvoie à l'art. 6 du Règlement [UE] n° 2016/399 du Parlement européen et du Conseil du 9 mars 2016 concernant un code de l'Union relatif au régime de franchissement des frontières par les personnes (code frontières Schengen, version codifiée ; JO L 77/1 du 23 mars 2016 p. 1-52, modifié par le Règlement [UE] n° 2017/458, JO L 74 du 18 mars 2017, p. 1).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rPr>
          <w:b/>
        </w:rPr>
        <w:t>E. 5.2</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(cf. art. 12 al. 1 en relation avec l'art. 2 al. 4 aOEV, resp. art. 2 let. d ch. 2, art. 3 al. 4 et al. 5, art. 11 let. b OEV ; art. 32 par. 1 en relation avec l'art. 25 par. 1 let. a et par. 2 du code des visas et art. 5 par. 4 let. c du code frontières Schengen).</w:t>
      </w:r>
    </w:p>
    <w:p>
      <w:r>
        <w:rPr>
          <w:b/>
        </w:rPr>
        <w:t>E. 5.3</w:t>
      </w:r>
    </w:p>
    <w:p>
      <w:r>
        <w:t>Le Règlement (CE) n° 539/2001 du Conseil du 15 mars 2001 (JO L 81 du 21 mars 2001, p. 1-7) - applicable par renvoi -, différencie en son art. 1 par. 1 et 2 les ressortissants des Etats tiers selon qu'ils sont soumis ou non à l'obligation du visa. Du fait que les intéressés sont des ressortissants sri-lankais, ils sont soumis à l'obligation de visas.</w:t>
      </w:r>
    </w:p>
    <w:p>
      <w:r>
        <w:rPr>
          <w:b/>
        </w:rPr>
        <w:t>E. 6.1</w:t>
      </w:r>
    </w:p>
    <w:p>
      <w:r>
        <w:t>Dans les décisions querellées, l'autorité inférieure a confirmé le refus d'autorisation d'entrée dans l'Espace Schengen prononcé par la Représentation à l'encontre des intéressés. Elle a estimé que la sortie de ceux-ci de l'Espace Schengen au terme du visa sollicité ne pouvait pas être considérée comme suffisamment garantie, d'une part, au vu de leur situation personnelle et financière, d'autre part, au regard de la situation socio-économique prévalant dans leur pays d'origine. Le SEM a également retenu en défaveur des deux enfants le fait qu'une demande de regroupement familial en leur faveur avait été déposée en 2015. Le recourant s'est opposé à la décision du SEM et a indiqué que ses deux enfants, âgées de 22 et 23 ans, n'avaient aucunement l'intention de s'établir en Suisse. Il a reconnu qu'une demande de regroupement familial avait été déposée en leur faveur mais que celle-ci avait été faite en particulier dans le but de faire venir sa troisième fille mineure en Suisse. Quant à ses deux autres enfants, ils avaient des attaches importantes dans leur pays et il était inexact de dire qu'ils pourraient prétendre à des conditions de vie meilleures en Suisse. L'autorité inférieure avait donc violé le principe de la proportionnalité, les intérêts privés du recourant et de enfants à pouvoir être en Suisse pour une fête de famille devant primer sur le risque assez réduit que les intéressés ne respectent pas la date de départ au terme du visa convoité.</w:t>
      </w:r>
    </w:p>
    <w:p>
      <w:r>
        <w:rPr>
          <w:b/>
        </w:rPr>
        <w:t>E. 6.2</w:t>
      </w:r>
    </w:p>
    <w:p>
      <w:r>
        <w:t>C'est le lieu de rappeler, premièrement, que la législation suisse sur les étrangers ne garantit aucun droit ni à l'entrée en Suisse, ni à l'octroi d'un visa. Secondement, selon la pratique constante des autorités, une autorisation d'entrée en Suisse ne peut être en principe délivrée à des étrangers dont le retour dans leur pays n'est pas assuré, soit en raison de la situation politique ou économique prévalant dans celui-ci, soit en raison de la situation personnelle de la personne requérante (cf., parmi d'autres, ATAF 2014/1 consid. 4.4).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(cf., sur les points qui précèdent, notamment ATAF 2014/1 consid. 6.1).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ibidem).</w:t>
      </w:r>
    </w:p>
    <w:p>
      <w:r>
        <w:rPr>
          <w:b/>
        </w:rPr>
        <w:t>E. 6.3</w:t>
      </w:r>
    </w:p>
    <w:p>
      <w:r>
        <w:t>A ce propos, il convient de prendre en considération la situation prévalant au Sri Lanka, pays qui a connu, depuis les années 1960, des tensions croissantes entre ses deux principales communautés (les Cinghalais, de religion principalement bouddhiste, et les Tamouls, de confession majoritairement hindouiste), tensions qui se sont transformées au début des années 1980 en un conflit armé opposant le gouvernement sri-lankais aux Tigres de Libération de l'Eelam Tamoul (LTTE), un mouvement sécessionniste revendiquant les régions du Nord et de l'Est de l'île à majorité tamoule. Depuis la fin de la guerre civile en mai 2009 et, en particulier, depuis la levée de l'état d'urgence en août 2011, la situation sécuritaire s'est détendue dans ce pays. Il n'en demeure pas moins que des tensions subsistent sur les plans ethnique et religieux, en particulier dans les anciennes zones de conflit situées au Nord et à l'Est du pays (comprenant le district de Jaffna, capitale de la province du Nord), tensions liées notamment au fait qu'une forte présence de l'armée sri-lankaise (à majorité cinghalaise) a été maintenue dans ces régions et que le processus visant à rétrocéder les terres confisquées par l'armée à la communauté tamoule (notamment) reste difficile à mettre en place (cf. parmi d'autres, l'article "Au Sri Lanka, des vies suspendues", paru le 26 août 2015 sur le site du journal Le Temps : www.letemps.ch, et l'article "Au Sri Lanka, l'armée résiste à la transition", paru le 28 mai 2015 sur le site du quotidien Le Monde : www.lemonde.fr). Malgré les espoirs suscités par l'élection d'un nouveau président au mois de janvier 2015 et le vaste processus de réformes et de réconciliation lancé par le nouveau gouvernement, il reste encore d'importants défis à relever, ce qui prendra du temps (cf. notamment le rapport "Principaux axes de l'engagement de la Suisse au Sri Lanka 2016-2020 [état février 2016]", publié sur le site du Département fédéral des affaires étrangères : www.dfae.admin.ch &gt; Représentations et conseils aux voyageurs &gt; Sri Lanka &gt; Développement et coopération &gt; Coopération internationale Stratégie, site consulté en mars 2019). Des tensions latentes existent aujourd'hui encore entre les communautés ethniques et religieuses, qui peuvent dégénérer en affrontements violents (cf. Conseils aux voyageurs - Sri Lanka, publié sur le site du Département fédéral des affaires étrangères : www.dfae.admin.ch Représentations et conseils aux voyageurs Sri Lanka Conseils aux voyageurs - Sri Lanka, site consulté en mars 2019). Par ailleurs, le pays a récemment plongé dans une crise économique inquiétante après que le président au pouvoir a limogé le premier ministre (cf. parmi d'autres, l'article "Le Sri Lanka s'enfonce dans une crise politique", paru le 27 octobre 2018 sur le site du journal Le Temps : www.letemps.ch). Sur le plan économique, avec un produit intérieur brut (PIB) par habitant en 2017 de 3'956 USD (ce qui correspond actuellement [état au 4 mars 2019] à environ 3'960 CHF), le Sri Lanka se situe très en deçà des standards européens (cf. Direction générale du Trésor français, en ligne sur son site : https://www.tresor.economie.gouv.fr Trésor international Sri Lanka indicateurs et conjoncture, Sri Lanka - indicateurs économiques 2017, site consulté en mars 2019). A cela s'ajoute que l'inflation a enregistré une forte accélération en 2017 (cf. Direction générale du Trésor français, en ligne sur son site : https://www.tresor.economie.gouv.fr Trésor international Sri Lanka indicateurs et conjoncture, Situation économique de Sri Lanka, site consulté en mars 2019). On relèvera enfin que, sur le plan de l'indice de développement humain (IDH), qui prend en compte la santé, l'éducation et le revenu de la population, le Sri Lanka a été classé en 2018 au 76ème rang sur 188 pays (cf. Programme des Nations Unies pour le développement, en ligne sur son site : www.hdr.undp.org 2018 Statistical Update Download 2018 Statistical Update 2018 Statistical Update - French). Or, une telle discrépance n'est pas sans exercer une forte pression migratoire. Ainsi que l'expérience l'a montré, la tendance migratoire est en effet renforcée lorsque la personne concernée peut s'appuyer à l'étranger sur un réseau familial ou social préexistant (cf. ATAF 2014/1 consid. 6.2.2, 2009/27 consid. 7).</w:t>
      </w:r>
    </w:p>
    <w:p>
      <w:r>
        <w:rPr>
          <w:b/>
        </w:rPr>
        <w:t>E. 6.4</w:t>
      </w:r>
    </w:p>
    <w:p>
      <w:r>
        <w:t>Aussi, compte tenu de la situation générale prévalant au Sri Lanka, des nombreux avantages qu'offrent les pays membres de l'Espace Schengen (notamment en termes de qualité de vie, de niveau salarial, de sécurité, d'infrastructures socio-médicales, etc.) et la présence du père ainsi que de la soeur des requérants, le Tribunal de céans ne saurait de prime abord écarter les craintes émises par l'autorité inférieure quant à une éventuelle prolongation de leur séjour dans l'Espace Schengen au-delà de la durée de validité des visas (dans le même sens, cf. les arrêts du TAF F-142/2016 du 29 août 2016 consid. 6.4 et C-3137/2015 du 28 juin 2016 consid. 4.4).</w:t>
      </w:r>
    </w:p>
    <w:p>
      <w:r>
        <w:rPr>
          <w:b/>
        </w:rPr>
        <w:t>E. 7.1</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et 2009/27 consid. 7 et 8).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 Il convient dès lors d'examiner si, en l'état, la situation personnelle, familiale, professionnelle et patrimoniale des requérants plaide en faveur de leur sortie ponctuelle de Suisse (ou de l'Espace Schengen), au terme du séjour envisagé.</w:t>
      </w:r>
    </w:p>
    <w:p>
      <w:r>
        <w:rPr>
          <w:b/>
        </w:rPr>
        <w:t>E. 7.2</w:t>
      </w:r>
    </w:p>
    <w:p>
      <w:r>
        <w:t>A propos de la situation personnelle et familiale des requérants, ceux-ci ont uniquement expliqué qu'ils disposaient d'un réseau d'amis au Sri Lanka. Le Tribunal a invité le recourant, le 17 octobre 2018, à le renseigner sur les liens affectifs et familiaux de ses enfants dans leur pays d'origine, faute de quoi il serait statué en l'état sur la base des pièces au dossier. Or, les intéressés n'ont jamais allégué, et encore moins établi, avoir de telles attaches avec le Sri Lanka. Il est au contraire relevé que ceux-ci ont des attaches familiales importantes en Suisse puisque leur père et leur petite soeur s'y trouvent. Le fait que les intéressés aient déposé une demande de regroupement familial il y a quelques années appuie d'ailleurs ce constat.</w:t>
      </w:r>
    </w:p>
    <w:p>
      <w:r>
        <w:rPr>
          <w:b/>
        </w:rPr>
        <w:t>E. 7.3</w:t>
      </w:r>
    </w:p>
    <w:p>
      <w:r>
        <w:t>Au regard de la situation professionnelle et patrimoniale des intéressées, il ressort des pièces au dossier que le fils du recourant est employé depuis le 15 mars 2016 par une société de construction en qualité de « work supervisor » (cf. dossier Symic [...] p. 70) et réalise, à ce titre, un revenu mensuel de 52'440 roupies sri-lankaises (cf. dossier Symic [...] p. 64 - 69) et que la fille est étudiante en Anglais (cf. courrier du recourant du 10 décembre 2018). Au vu de ces éléments, les requérants ne peuvent se prévaloir d'attaches socio-professionnelles particulièrement fortes dans leur pays. En effet, le Tribunal ne saurait considérer qu'ils assument ainsi des responsabilités à ce point importantes dans leur pays qu'un pronostic favorable puisse être émis. A cet égard, on ne décèle aucun élément dans le dossier permettant de conclure que la situation matérielle des intéressés se trouverait péjorée si ceux-ci, une fois entrés en Suisse, tentaient d'y prolonger leur séjour ou de demeurer dans un pays membre de l'Espace Schengen.</w:t>
      </w:r>
    </w:p>
    <w:p>
      <w:r>
        <w:rPr>
          <w:b/>
        </w:rPr>
        <w:t>E. 7.4</w:t>
      </w:r>
    </w:p>
    <w:p>
      <w:r>
        <w:t>Finalement, les intéressés n'ont pas invoqué de motifs susceptibles de justifier la délivrance en leur faveur d'un visa à validité territoriale limitée (visa VTL ; cf. consid. 5.2 supra) et le Tribunal n'en perçoit aucun.</w:t>
      </w:r>
    </w:p>
    <w:p>
      <w:r>
        <w:rPr>
          <w:b/>
        </w:rPr>
        <w:t>E. 8</w:t>
      </w:r>
    </w:p>
    <w:p>
      <w:r>
        <w:t>Il s'ensuit que, par ses décisions du 6 août 2018,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