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F-5085/2022 vom 23. August 2023</w:t>
      </w:r>
    </w:p>
    <w:p>
      <w:r>
        <w:t>Bundesverwaltungsgericht, 2023-08-23, DE</w:t>
      </w:r>
    </w:p>
    <w:p>
      <w:r>
        <w:rPr>
          <w:b/>
        </w:rPr>
        <w:t xml:space="preserve">Quelle: </w:t>
      </w:r>
      <w:r>
        <w:t>https://mcp.opencaselaw.ch/entscheid/bvger_F-5085_2022</w:t>
      </w:r>
    </w:p>
    <w:p>
      <w:r>
        <w:t>FR: TAF F-5085/2022 du 23 août 2023</w:t>
      </w:r>
    </w:p>
    <w:p>
      <w:r>
        <w:t>IT: TAF F-5085/2022 del 23 agosto 2023</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3.1</w:t>
      </w:r>
    </w:p>
    <w:p>
      <w:r>
        <w:t>Nach Art. 67 Abs. 2 Bst. a AIG (in der hier anwendbaren, bis am 21. November 2022 gültig gewesenen Fassung vom 18. Juni 2010 [AS 2010 5925]) kann das SEM ein Einreiseverbot gegenüber Ausländerinnen und Ausländern verfügen,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Die verfügende Behörde kann ausnahmsweise aus humanitären oder anderen wichtigen Gründen von der Verhängung eines Einreiseverbots absehen oder ein</w:t>
      </w:r>
    </w:p>
    <w:p>
      <w:r>
        <w:t>F-5085/2022 Seite 4 Einreiseverbot endgültig oder vorübergehend aufheben (Art. 67 Abs. 5 erster Satz AIG).</w:t>
      </w:r>
    </w:p>
    <w:p>
      <w:r>
        <w:rPr>
          <w:b/>
        </w:rPr>
        <w:t>E. 3.2</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HÄFELIN/MÜLLER/UHL- MANN, Allgemeines Verwaltungsrecht, 8. Aufl. 2020, Rz. 555 ff.).</w:t>
      </w:r>
    </w:p>
    <w:p>
      <w:r>
        <w:rPr>
          <w:b/>
        </w:rPr>
        <w:t>E. 3.3</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der [hier noch anwendbaren] Verordnung [EG] Nr. 1987/2006 vom 20. Dezember 2006 über die Einrichtung, den Betrieb und die Nutzung des SIS-II, ABl. L 381/4 vom 28.12.2006 [SIS-II-VO] [abgelöst durch: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L312/14 vom 7.12.2018 [SIS-VO-Grenze]; vergleiche diesbezüglich deren Art. 65]).</w:t>
      </w:r>
    </w:p>
    <w:p>
      <w:r>
        <w:rPr>
          <w:b/>
        </w:rPr>
        <w:t>E. 4.1</w:t>
      </w:r>
    </w:p>
    <w:p>
      <w:r>
        <w:t>Die Vorinstanz begründet das Einreiseverbot damit, dass der Be- schwerdeführer sich weit über die im Visum festgelegten Aufenthaltstage hinaus im Schengen-Raum aufgehalten habe. Folglich liege ein Verstoss gegen die schengenrechtlichen Einreisevoraussetzungen vor, womit eine ernsthafte Gefährdung der öffentlichen Sicherheit und Ordnung einher- gehe; der Fernhaltegrund nach Art. 67 Abs. 2 Bst. a AIG sei erfüllt.</w:t>
      </w:r>
    </w:p>
    <w:p>
      <w:r>
        <w:t>F-5085/2022 Seite 5</w:t>
      </w:r>
    </w:p>
    <w:p>
      <w:r>
        <w:rPr>
          <w:b/>
        </w:rPr>
        <w:t>E. 4.2</w:t>
      </w:r>
    </w:p>
    <w:p>
      <w:r>
        <w:t>Demgegenüber macht der Beschwerdeführer geltend, er habe nicht absichtlich die Aufenthaltsdauer überschritten – er habe sich verrechnet. Da er sich beim letzten Visum bei der Berechnung der Aufenthaltsdauer nicht sicher gewesen sei, sei er damals «extra zum Schweizer Immigrati- onsamt gegangen». Dort habe er die Auskunft erhalten, dass er zweimal jeweils für 90 Tage einreisen dürfe. Leider sei ihm nicht mitgeteilt worden, dass sich die maximale Aufenthaltsdauer von 90 Tagen auf einen Zeitraum von sechs Monaten beziehe. Daher sei er fälschlicherweise bei der Be- rechnung vom Einreisetag und nicht vom Ausstellungsdatum des Visums ausgegangen. Für diesen Fehler übernehme er die Verantwortung. Er – der Beschwerdeführer – sei seit dem Jahr 2002 mit dreizehn Business Visa in die Schweiz eingereist und habe sich stets an alle Regeln und Vorschrif- ten gehalten. Er habe sich nie etwas zu Schulden kommen lassen. Der Einkauf von Fahrzeugen in der Schweiz sichere die Existenz seiner Familie in Libanon. Libanon befinde sich seit 2019 in einer Wirtschaftskrise mit ei- ner hohen Inflation, welche ein Überleben ohne Arbeit im Ausland verun- mögliche. Das Einreiseverbot für die Schweiz und den Schengen-Raum bedeute für ihn daher eine «Bankrotterklärung».</w:t>
      </w:r>
    </w:p>
    <w:p>
      <w:r>
        <w:rPr>
          <w:b/>
        </w:rPr>
        <w:t>E. 4.3</w:t>
      </w:r>
    </w:p>
    <w:p>
      <w:r>
        <w:t>In der Vernehmlassung führt die Vorinstanz aus, der Beschwerdeführer habe nicht angegeben, welche Migrationsbehörde ihm die (falsche) Aus- kunft erteilt habe. Auch reiche er keine Belege ein, welche seine berufli- chen Interessen und Verpflichtungen zu beweisen vermöchten. Ausserdem sei er im Jahr 2012 wegen der gleichen Übertretung mit einer Geldbusse bestraft worden und habe «damals die gleiche Aussage bezüglich der vor- gängigen Kontaktaufnahme mit den Behörden» gemacht.</w:t>
      </w:r>
    </w:p>
    <w:p>
      <w:r>
        <w:rPr>
          <w:b/>
        </w:rPr>
        <w:t>E. 5</w:t>
      </w:r>
    </w:p>
    <w:p>
      <w:r>
        <w:t>Der Beschwerdeführer bestreitet nicht, die Aufenthaltsdauer im Schen- gen-Raum überschritten zu haben. Er wurde denn auch mit rechtskräftigem Strafbefehl des Statthalteramts des Bezirks C._______ vom 19. Oktober 2022 wegen rechtswidrigen Aufenthalts von 33 Tagen zu einer Busse verurteilt. Der Beschwerdeführer hat ausländerrechtliche Bestimmungen verletzt und somit gegen die öffentliche Sicherheit und Ordnung verstossen. Allfällige Unkenntnis oder Fehlinterpretation der Aufenthaltsvorschriften hat er sich anrechnen zu lassen. Ihm obliegt es, sich über die bestehenden Rechte und Pflichten im Zusammenhang mit ausländerrechtlichen Vorschriften zu informieren (vgl. statt vieler: Urteil des BVGer F-6174/2020 vom 21. Juni 2021 E. 4). Obschon sich der Beschwerdeführer auf eine (falsche) Behördenauskunft abgestützt haben will – allerdings ohne dies weiter zu belegen –, räumt er selber ein, eine</w:t>
      </w:r>
    </w:p>
    <w:p>
      <w:r>
        <w:t>F-5085/2022 Seite 6 Sorgfaltspflichtverletzung begangen zu haben. Er wolle für seinen «Fehler» die Verantwortung übernehmen. Der Fernhaltegrund von Art. 67 Abs. 2 Bst. a AIG ist folglich unbestrittenermassen erfüllt.</w:t>
      </w:r>
    </w:p>
    <w:p>
      <w:r>
        <w:rPr>
          <w:b/>
        </w:rPr>
        <w:t>E. 6</w:t>
      </w:r>
    </w:p>
    <w:p>
      <w:r>
        <w:t>Zu prüfen bleibt die Verhältnismässigkeit der Massnahme (vgl. E. 3.2).</w:t>
      </w:r>
    </w:p>
    <w:p>
      <w:r>
        <w:rPr>
          <w:b/>
        </w:rPr>
        <w:t>E. 6.1</w:t>
      </w:r>
    </w:p>
    <w:p>
      <w:r>
        <w:t>Der Verstoss des Beschwerdeführers gegen ausländerrechtliche Best- immungen wiegt mit einem Overstay von 33 Tagen objektiv nicht leicht. Der Einhaltung zentraler ausländerrechtlicher Normen kommt eine hohe Be- deutung zu, geht es doch darum, eine funktionierende Rechtsordnung ge- währleisten zu können. Entsprechend ist die ausländerrechtliche Ordnung durch eine konsequente Massnahmenpraxis zu schützen (BVGE 2014/20 E. 8.2; Urteil des BVGer F-1641/2019 vom 14. September 2022 E. 4.1.1). Vorliegend besteht daher bereits aus generalpräventiven Gründen ein öf- fentliches Interesse an einer zeitlich befristeten Fernhaltung des Be- schwerdeführers, zumal sich Drittstaatsangehörige – im Gegensatz zu Staatsangehörigen einer Vertragspartei des Freizügigkeitsabkommen (FZA, SR 0.142.112.681) – nur beschränkt auf eine geringe Rückfallgefahr berufen können (vgl. BGE 139 II 121 E. 6.1; 136 II 5 E. 4.2; BVGE 2017 VII/2 E. 4.4). Das Einreiseverbot erscheint jedoch auch aus spezialpräven- tiven Gründen angezeigt, um ihn bei künftigen Aufenthalten in der Schweiz von der erneuten Gefährdung der öffentlichen Sicherheit und Ordnung ab- zuhalten. Es besteht somit ein öffentliches Interesse an der befristeten Fernhaltung des Beschwerdeführers.</w:t>
      </w:r>
    </w:p>
    <w:p>
      <w:r>
        <w:rPr>
          <w:b/>
        </w:rPr>
        <w:t>E. 6.2</w:t>
      </w:r>
    </w:p>
    <w:p>
      <w:r>
        <w:t>Dem öffentlichen Interesse an der Massnahme sind die privaten Inte- ressen des Beschwerdeführers gegenüberzustellen. Dieser bringt vor, er sei in beruflicher Hinsicht auf die Einreise in die Schweiz angewiesen, zu- mal er durch den Einkauf von Fahrzeugen in der Schweiz die (wirtschaftli- che) Existenz seiner Familie in Libanon sicherstellen könne. Dieses Inte- resse vermag das öffentliche Interesse an einer befristeten Fernhaltung des Beschwerdeführers klarerweise nicht zu überwiegen. Jenes wird je- doch relativiert durch den Umstand, dass der Beschwerdeführer, abgese- hen von einem Overstay von 14 Tagen im Jahr 2012 (SEM-act. 1), keine weiteren Verstösse gegen ausländerrechtliche Vorschriften begangen hat (vgl. Urteil des BVGer F-3585/2022 vom 4. Januar 2023 E. 6.3). Er hat seit- her wiederum sechs – und insgesamt seit 2002 dreizehn – Schengen-Visa zu geschäftlichen Zwecken erhalten. Auch ist die Dauer seines Overstay – 33 Tage – im Vergleich zu ähnlichen Fällen, in denen ebenfalls ein zwei- jähriges Einreiseverbot verhängt wurde, als kurz zu bewerten (siehe Urteile</w:t>
      </w:r>
    </w:p>
    <w:p>
      <w:r>
        <w:t>F-5085/2022 Seite 7 des BVGer F- 572/2021 vom 21. September 2021, E. 5 [Overstay von 328 Tagen], F- 906/2021 vom 3. November 2022, E. 4.3 [Overstay von 257 Ta- gen], F- 3733/2021 vom 30. September 2022, E. 7.2 [Overstay von 194 Tagen], F-1921/2021 vom 28. Februar 2022E. 5.2 [Overstay von 172 Ta- gen]).</w:t>
      </w:r>
    </w:p>
    <w:p>
      <w:r>
        <w:rPr>
          <w:b/>
        </w:rPr>
        <w:t>E. 6.3</w:t>
      </w:r>
    </w:p>
    <w:p>
      <w:r>
        <w:t>Aus der wertenden Gewichtung der sich gegenüberstehenden Interes- sen und der Berücksichtigung der Rechtsprechung in ähnlichen Fällen folgt, dass das Einreiseverbot dem Grundsatz nach zu bestätigen ist, in Bezug auf seine Dauer von zwei Jahren jedoch als unverhältnismässig lang erscheint. Ein einjähriges Einreiseverbot bietet genügend Gewähr da- für, dass der Beschwerdeführer künftig die in der Schweiz beziehungs- weise im Schengen-Raum geltenden migrationsrechtlichen Vorschriften befolgt. Dem öffentlichen Interesse an der Fernhaltung des Beschwerde- führers wird mit einem Einreiseverbot, begrenzt auf ein Jahr, hinreichend Rechnung getragen.</w:t>
      </w:r>
    </w:p>
    <w:p>
      <w:r>
        <w:rPr>
          <w:b/>
        </w:rPr>
        <w:t>E. 7</w:t>
      </w:r>
    </w:p>
    <w:p>
      <w:r>
        <w:t>Demnach verletzt die angefochtene Verfügung Bundesrecht (Art. 49 VwVG), weshalb die Beschwerde teilweise gutzuheissen und das gegen den Beschwerdeführer verhängte Einreiseverbot auf den 28. September 2023 zu befristen ist.</w:t>
      </w:r>
    </w:p>
    <w:p>
      <w:r>
        <w:rPr>
          <w:b/>
        </w:rPr>
        <w:t>E. 8.1</w:t>
      </w:r>
    </w:p>
    <w:p>
      <w:r>
        <w:t>Entsprechend dem Ausgang des Verfahrens sind dem Beschwerdefüh- rer die Verfahrenskosten von Fr. 1'000.– im Umfang des Unterliegens, mit- hin im Betrag von Fr. 500.–, aufzuerlegen (Art. 63 Abs. 1 VwVG i.V.m. Art. 1 ff. des Reglements vom 21. Februar 2008 über die Kosten und Ent- schädigungen vor dem Bundesverwaltungsgericht [VGKE, SR 173.320.2]).</w:t>
      </w:r>
    </w:p>
    <w:p>
      <w:r>
        <w:rPr>
          <w:b/>
        </w:rPr>
        <w:t>E. 8.2</w:t>
      </w:r>
    </w:p>
    <w:p>
      <w:r>
        <w:t>Der teilweise obsiegende Beschwerdeführer hat grundsätzlich An- spruch auf Ersatz der ihm erwachsenen notwendigen Kosten (Art. 64 Abs. 1 und 2 VwVG; Art. 7 ff. des Reglements vom 21. Februar 2008 über die Kosten und Entschädigungen vor dem Bundesverwaltungsgericht [VGKE, SR 173.320.2]). Es ist jedoch nicht davon auszugehen, dass ihm – der nicht anwaltlich oder auf andere Weise beruflich vertreten ist – aus dem vorliegenden Verfahren Kosten im Sinne der massgeblichen Bestimmun- gen entstanden sind. Deshalb ist ihm keine Parteientschädigung zuzuspre- chen.</w:t>
      </w:r>
    </w:p>
    <w:p>
      <w:r>
        <w:t>F-5085/2022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