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F-5035/2022 vom 11. November 2022</w:t>
      </w:r>
    </w:p>
    <w:p>
      <w:r>
        <w:t>Bundesverwaltungsgericht, 2022-11-11, FR</w:t>
      </w:r>
    </w:p>
    <w:p>
      <w:r>
        <w:rPr>
          <w:b/>
        </w:rPr>
        <w:t xml:space="preserve">Quelle: </w:t>
      </w:r>
      <w:r>
        <w:t>https://mcp.opencaselaw.ch/entscheid/bvger_F-5035_2022</w:t>
      </w:r>
    </w:p>
    <w:p>
      <w:r>
        <w:t>FR: TAF F-5035/2022 du 11 novembre 2022</w:t>
      </w:r>
    </w:p>
    <w:p>
      <w:r>
        <w:t>IT: TAF F-5035/2022 del 11 novembre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En outre,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Dans le cas particulier, il sied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w:t>
      </w:r>
    </w:p>
    <w:p>
      <w:r>
        <w:rPr>
          <w:b/>
        </w:rPr>
        <w:t>E. 3.1</w:t>
      </w:r>
    </w:p>
    <w:p>
      <w:r>
        <w:t>La Suisse participe au système établi par le règlement Dublin (cf. art. 1 AAD [RS 0.142.392.68]), in casu le règlement Dublin III (cf. art. 49 RD III). Avant de faire application de l'art. 31a al. 1 let. b LAsi, le SEM examine dès lors la compétence relative au traitement d'une demande d'asile à la lumière des critères fixés dans ce règlement.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En vertu de l'art. 3 par. 1 RD III, une demande de protection internationale est examinée par un seul Etat membre, qui est celui que les critères énoncés au chapitre III de ce règlement désignent comme responsable. La procédure de détermination de l'Etat membre responsable est engagée aussitôt qu'une demande de protection internationale a été déposée pour la première fois dans un Etat membre (cf. art. 20 par. 1 RD III). Dans une procédure de reprise en charge (en anglais: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situations prévues à l'art. 7 par. 3 RD III (en lien avec les critères de détermination visés aux art. 8, 10 et 16 RD III) et à l'art. 20 par. 5 RD III (cf. ATAF 2019 VI/7 consid. 6.4.1.3, 2017 VI/5 consid. 6.2, 6.3, 8.2.1 et 8.3).</w:t>
      </w:r>
    </w:p>
    <w:p>
      <w:r>
        <w:rPr>
          <w:b/>
        </w:rPr>
        <w:t>E. 3.3</w:t>
      </w:r>
    </w:p>
    <w:p>
      <w:r>
        <w:t>Aux termes de l'art. 18 par. 1 point b et par. 2 al. 1 RD III, l'Etat membre responsable de l'examen d'une demande de protection internationale en vertu de ce règlement est tenu de reprendre en charge dans les conditions prévues aux art. 23, 24, 25 et 29 le demandeur dont la demande est en cours d'examen et qui a présenté une demande dans un autre Etat membre, ainsi que de mener à son terme cet examen.</w:t>
      </w:r>
    </w:p>
    <w:p>
      <w:r>
        <w:rPr>
          <w:b/>
        </w:rPr>
        <w:t>E. 4</w:t>
      </w:r>
    </w:p>
    <w:p>
      <w:r>
        <w:t>Ainsi qu'il appert de la base de données "Eurodac", le recourant, avant de solliciter l'octroi de l'asile en Suisse en date du 13 août 2022, avait déposé une demande d'asile en Autriche le 9 août 2022. Le 5 septembre 2022 (soit dans le délai de deux mois prescrit par l'art. 23 par. 2 al. 1 RD III), le SEM a soumis aux autorités autrichiennes une requête tendant à la reprise en charge du recourant fondée sur l'art. 18 par. 1 let. b RD III. Le 13 septembre 2022 (soit dans le respect du délai de deux semaines prévu à l'art. 25 par. 1 in fine RD III), les autorités autrichiennes ont admis cette requête en se basant sur la même disposition, signalant ainsi au SEM que la demande de protection internationale déposée par l'intéressé sur leur territoire était toujours en cours d'examen.</w:t>
      </w:r>
    </w:p>
    <w:p>
      <w:r>
        <w:rPr>
          <w:b/>
        </w:rPr>
        <w:t>E. 4.1</w:t>
      </w:r>
    </w:p>
    <w:p>
      <w:r>
        <w:t>Dans ces conditions, l'Autriche est bel et bien l'Etat membre responsable, dans le cadre de la présente cause, en vertu des critères de compétence définis par le règlement Dublin III, ce que le recourant ne conteste pas.</w:t>
      </w:r>
    </w:p>
    <w:p>
      <w:r>
        <w:rPr>
          <w:b/>
        </w:rPr>
        <w:t>E. 4.2</w:t>
      </w:r>
    </w:p>
    <w:p>
      <w:r>
        <w:t>Lors de son entretien individuel, le recourant a, cela dit, indiqué ne pas souhaiter retourner en Autriche car il a nié y avoir déposé une demande d'asile (...). Dans son pourvoi, il s'est opposé à son transfert vers l'Autriche, notamment car il craignait d'être renvoyé en Hongrie par les autorités autrichiennes suite à l'interpellation dont il a fait l'objet lors de son voyage l'ayant mené jusqu'en Suisse.</w:t>
      </w:r>
    </w:p>
    <w:p>
      <w:r>
        <w:rPr>
          <w:b/>
        </w:rPr>
        <w:t>E. 4.2.1</w:t>
      </w:r>
    </w:p>
    <w:p>
      <w:r>
        <w:t>Dans la mesure où le recourant entendrait ainsi se prévaloir implicitement de l'existence en Autriche de défaillances systémiques dans la procédure d'asile et les conditions d'accueil des demandeurs au sens de l'art. 3 par. 2 al. 2 RD III, il convient de relever qu'il n'existe aucun indice sérieux et concret permettant de retenir qu'il existerait dans ce pays une pratique avérée de violations systématiques des normes communautaires minimales en matière de procédure d'asile et de conditions d'accueil des requérants d'asile, constitutives de défaillances systémiques au sens de l'art. 3 par. 2 al. 2 RD III (cf., parmi d'autres, arrêts du TAF F-1595/2022 du 13 avril 2022 consid. 4.2 ; F-4591/2021 du 25 octobre 2021 consid. 4.2 et F-2811/2021 du 21 juin 2021). Au surplus, et en l'absence de toute argumentation de la part du recourant sur ce point, il peut être renvoyé aux développements de l'autorité intimée (...).</w:t>
      </w:r>
    </w:p>
    <w:p>
      <w:r>
        <w:rPr>
          <w:b/>
        </w:rPr>
        <w:t>E. 4.2.2</w:t>
      </w:r>
    </w:p>
    <w:p>
      <w:r>
        <w:t>Il importe également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w:t>
      </w:r>
    </w:p>
    <w:p>
      <w:r>
        <w:rPr>
          <w:b/>
        </w:rPr>
        <w:t>E. 4.3</w:t>
      </w:r>
    </w:p>
    <w:p>
      <w:r>
        <w:t>L'Autriche est liée à la Charte des droits fondamentaux de l'Union européenne (JO C 364/1 du 18.12.2000)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Autriche de violation systématique des normes communautaires en la matière, la présomption de respect par cet Etat de ses obligations concernant les droits des requérants d'asile sur son territoire n'est pas renversée (ATAF 2011/35 consid. 4.11 et 2010/45 consid. 7.4 et 7.5 ; cf., parmi d'autres, arrêts du TAF F-4791/2022 du 26 octobre 2022 consid.7 ; F-1595/2022 du 13 avril 2022 consid. 4.2 ; E-522/2022 du 15 février 2022 consid. 8 avec renvois ; F-4591/2021 du 25 octobre 2021 consid. 4.2 ; F-2811/2021 du 21 juin 2021). Il n'y a donc pas lieu d'admettre que cet Etat connaisse des défaillances systémiques au sens de l'art. 3 par. 2 al. 2 du règlement Dublin III, si bien que l'application de cette disposition ne se justifie pas en l'espèce (ATAF 2017 VI/5 consid. 8.4 ; cf. arrêt du TAF F-1595/2022 du 13 avril 2022 consid. 4.2).</w:t>
      </w:r>
    </w:p>
    <w:p>
      <w:r>
        <w:rPr>
          <w:b/>
        </w:rPr>
        <w:t>E. 4.4</w:t>
      </w:r>
    </w:p>
    <w:p>
      <w:r>
        <w:t>La présomption de sécurité susmentionnée peut toutefois être renversée en présence, dans l'Etat membre désigné responsable, non seulement de défaillances systémiques dans la procédure d'asile et les conditions d'accueil des requérants d'asile (cf. consid. 4.2.1 et 4.3 supra), mais également d'indices sérieux laissant à penser que, dans le cas concret, les autorités de cet Etat ne respecteraient pas leurs engagements découlant du droit international public (cf. ATAF 2011/9 consid. 6, 2010/45 consid. 7.4 et 7.5), question qu'il convient d'examiner dans les considérants qui suivent.</w:t>
      </w:r>
    </w:p>
    <w:p>
      <w:r>
        <w:rPr>
          <w:b/>
        </w:rPr>
        <w:t>E. 4.4.1</w:t>
      </w:r>
    </w:p>
    <w:p>
      <w:r>
        <w:t>En l'espèce, force est de constater que l'allégation du recourant, lors de son entretien Dublin, selon laquelle il n'aurait pas déposé une demande d'asile en Autriche allégation qui est en contradiction avec les informations ressortant de la banque de données "Eurodac" est manifestement contraire à la réalité. En effet, si l'intéressé n'avait pas déposé une demande de protection internationale en Autriche, il n'aurait assurément pas pu y bénéficier des possibilités de prise en charge garanties par la directive Accueil, notamment un hébergement dans un « foyer » pour une durée de trois jours (...). Par ailleurs, le recourant a précisé qu'aux termes de ces trois jours, il se serait rendu dans une gare puis aurait quitté ce pays après avoir « acheté un billet de train à 125 Euros pour Zurich » (...). Dans ces circonstances, il est parfaitement normal que les autorités autrichiennes n'aient pas eu le temps d'examiner ses motifs d'asile et se soient bornées à l'entendre sur ses données personnelles. En outre, les autorités autrichiennes n'auraient pas accepté de le reprendre en charge en se fondant sur l'art. 18 par. 1 let. b RD III. Enfin, le recourant n'a jamais fait valoir que l'Autriche, après avoir prélevé ses empreintes digitales, aurait tenté de le reconduire à la frontière ou qu'elle aurait envisagé, après le dépôt de sa demande d'asile, de le renvoyer dans un pays où il serait potentiellement exposé à des mauvais traitements, notamment en Hongrie comme ce dernier le craignait. Finalement, contrairement aux déclarations de l'intéressé, aucune preuve, ni même indice, n'amène à penser que les autorités hongroises aient, lors de son bref passage dans ce pays, relevé ses empreintes. Dites allégations étant également contredites par le système "Eurodac" qui ne contient rien à ce sujet concernant le recourant. Partant, les critiques ayant été émises par le recourant en relation avec sa procédure d'asile en Autriche et le risque que cette dernière ne le renvoie en Hongrie s'avèrent donc infondées, ainsi que le relève le SEM à juste titre.</w:t>
      </w:r>
    </w:p>
    <w:p>
      <w:r>
        <w:rPr>
          <w:b/>
        </w:rPr>
        <w:t>E. 4.5</w:t>
      </w:r>
    </w:p>
    <w:p>
      <w:r>
        <w:t>Dans ces conditions, le Tribunal relève qu'il n'existe aucun indice indiquant que les autorités autrichiennes violeraient le droit de l'intéressé à l'examen, selon une procédure juste et équitable, de sa demande de protection internationale, ce que celui-ci n'a du reste pas soutenu. De même, le recourant n'a pas apporté d'indices objectifs, concrets et sérieux qu'il serait privé durablement de tout accès aux conditions matérielles d'accueil prévues par la directive Accueil et qu'il ne pourrait pas bénéficier de l'aide nécessaire pour faire valoir ses droits. Cela étant, si l'intéressé devait, à l'issue de son transfert en Autriche,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 Ainsi, le recourant n'a pas renversé la présomption selon laquelle l'Autriche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(arrêts du TAF F-4443/2022 du 10 octobre 2022 et F-2811/2021 du 21 juin 2021). Son transfert vers l'Autriche n'est donc pas contraire aux obligations de la Suisse découlant des dispositions conventionnelles auxquelles cette dernière est liée.</w:t>
      </w:r>
    </w:p>
    <w:p>
      <w:r>
        <w:rPr>
          <w:b/>
        </w:rPr>
        <w:t>E. 5.1</w:t>
      </w:r>
    </w:p>
    <w:p>
      <w:r>
        <w:t>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w:t>
      </w:r>
    </w:p>
    <w:p>
      <w:r>
        <w:rPr>
          <w:b/>
        </w:rPr>
        <w:t>E. 5.2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Ainsi que l'a retenu la Cour européenne des droits de l'Homme (ci-après : Cour 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Grande Chambre, req. n° 41738/10, par. 174 à 183).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5.3</w:t>
      </w:r>
    </w:p>
    <w:p>
      <w:r>
        <w:t>Lors de son entretien individuel, le recourant a déclaré qu'il avait notamment des problèmes d'acidité dans l'estomac, datant d'avant son départ d'Afghanistan, pour lesquels il prenait des comprimés de Prantepazol. Aussi, il a fait état de démangeaisons et de boutons sur son corps après avoir été dans l'eau d'un lac qui était toute sale (...). Enfin, l'intéressé - par l'entremise de son représentant légal - a demandé l'instruction d'office de son état de santé par le SEM. Dans un rapport médical du 14 septembre 2022, il est précisé que le recourant a bénéficié lors d'une consultation médicale le 26 août 2022, d'une mise à jour de ses vaccinations (BOOSTRIX POLIO, PRIORIX TETRA, HBVAXPRO). Egalement dans ce même rapport, il est indiqué que, lors d'une seconde consultation médicale en date du 14 septembre 2022, l'ordonnance d'Omeprazol 20 mg, dont il bénéficiait jusque-là, a été prolongée par actes délégués en vue de son déplacement vers un autre centre d'accueil. En outre, il a aussi été constaté qu'il n'y avait aucune indication évidente pour un traitement d'Omeprazol au long cours et, à ce jour, le recourant ne s'est pas manifesté à la fin de la validité de son ordonnance médicale afin d'obtenir des médicaments ou un rendez-vous auprès d'un médecin, ni n'a versé d'autres pièces médicales au dossier (...).</w:t>
      </w:r>
    </w:p>
    <w:p>
      <w:r>
        <w:rPr>
          <w:b/>
        </w:rPr>
        <w:t>E. 5.4</w:t>
      </w:r>
    </w:p>
    <w:p>
      <w:r>
        <w:t>Ainsi que le SEM l'a relevé dans sa décision du 27 octobre 2022, l'Autriche, en tant qu'Etat membre participant au système Dublin, est présumée disposer d'une infrastructure médicale suffisante. Selon l'art. 19 al. 1 de la Directive 2013/33/UE du Parlement européen et du Conseil du 26 juin 2013 établissant des normes pour l'accueil des personnes demandant la protection internationale (Directive Accueil), les États membres font en sorte que les demandeurs reçoivent les soins médicaux nécessaires qui comportent, au minimum, les soins urgents et le traitement essentiel des maladies et des troubles mentaux graves. Le Tribunal considère dès lors qu'aucun élément au dossier ne permet d'inférer qu'en cas de transfert vers cet Etat, le recourant risquerait d'être exposé à un déclin grave, rapide et irréversible de son état de santé. Force est donc de constater que les examens médicaux subis, les diagnostics posés et les traitements suivis ne sont pas révélateurs de maladies d'une gravité ou d'une spécificité telle qu'elles ne pourraient pas être traitées en Autriche, pays qui dispose de structures médicales équivalentes à la Suisse et dans lequel l'intéressé peut se soumettre aux éventuelles interventions médicales nécessaires (arrêt du TAF F-1595/2022 du 13 avril 2022 consid 5.4). A ce sujet, le simple fait que d'ultérieurs rendez-vous médicaux ou psychiatriques aient été fixés en Suisse ne saurait empêcher le prononcé (respectivement la confirmation par le Tribunal) d'une décision de non-entrée en matière Dublin (cf. arrêt du TAF D-4235/2021 du 19 avril 2022 consid. 6.3.1, 6.3.2 et 10.5). Partant, il y a lieu de retenir que les problèmes de santé, sous contrôle médical, dont le recourant est atteint - et dont le Tribunal ne remet pas en cause l'étendue - ne sauraient faire obstacle à l'exécution de son transfert vers l'Autriche.</w:t>
      </w:r>
    </w:p>
    <w:p>
      <w:r>
        <w:rPr>
          <w:b/>
        </w:rPr>
        <w:t>E. 5.5</w:t>
      </w:r>
    </w:p>
    <w:p>
      <w:r>
        <w:t>Sur un autre plan, l'intéressé a également fait valoir, lors de son entretien Dublin, ses craintes concernant les difficultés procédurales afin d'obtenir une autorisation de séjour ainsi que de travail en Autriche (...). A cet égard, il sied de relever que les allégations du recourant sont ici très générales et n'ont à aucun moment été étayées au cours de la présente procédure, lesdites allégations n'ont d'ailleurs pas été reprises par l'intéressé à l'appui de son mémoire de recours. Dès lors, il reviendra donc au recourant, une fois son transfert effectué, de se prévaloir des droits octroyés par les différentes directives auxquelles l'Autriche est partie, notamment les Directives Procédure et Accueil. Si, après son transfert, l'intéressé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w:t>
      </w:r>
    </w:p>
    <w:p>
      <w:r>
        <w:rPr>
          <w:b/>
        </w:rPr>
        <w:t>E. 5.6</w:t>
      </w:r>
    </w:p>
    <w:p>
      <w:r>
        <w:t>Par conséquent, le transfert du recourant vers l'Autriche n'est pas contraire aux obligations découlant des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 let. b LAsi, et a prononcé son transfert de Suisse vers l'Autriche, en application de l'art. 44 LAsi, aucune exception à la règle générale du renvoi n'étant réalisée (art. 32 OA 1).</w:t>
      </w:r>
    </w:p>
    <w:p>
      <w:r>
        <w:rPr>
          <w:b/>
        </w:rPr>
        <w:t>E. 6</w:t>
      </w:r>
    </w:p>
    <w:p>
      <w:r>
        <w:t>Au vu de ce qui précède, le recours doit être rejeté.</w:t>
      </w:r>
    </w:p>
    <w:p>
      <w:r>
        <w:rPr>
          <w:b/>
        </w:rPr>
        <w:t>E. 6.1</w:t>
      </w:r>
    </w:p>
    <w:p>
      <w:r>
        <w:t>S'avérant manifestement infondé, il est rejeté dans une procédure à juge unique, avec l'approbation d'un second juge (art. 111 let. e LAsi). Il est dès lors renoncé à un échange d'écritures et le présent arrêt n'est motivé que sommairement (cf. art. 111a al. 1 et 2 LAsi).</w:t>
      </w:r>
    </w:p>
    <w:p>
      <w:r>
        <w:rPr>
          <w:b/>
        </w:rPr>
        <w:t>E. 6.2</w:t>
      </w:r>
    </w:p>
    <w:p>
      <w:r>
        <w:t>Dans la mesure où il a été immédiatement statué sur le fond, les requêtes en exemption du paiement d'une avance de frais et en octroi de l'effet suspensif sont sans objet. Par ailleurs, les conclusions du recours étant d'emblée vouées à l'échec, la requête d'assistance judiciaire totale (recte : partielle, le recourant n'étant plus représenté par un mandataire et n'ayant pas sollicité l'attribution d'un défenseur d'office dans le cadre de la présente procédure de recours) est rejetée (art. 65 PA). En outre, les mesures superprovisionnelles prononcées le 4 novembre 2022 sont désormais caduques.</w:t>
      </w:r>
    </w:p>
    <w:p>
      <w:r>
        <w:rPr>
          <w:b/>
        </w:rPr>
        <w:t>E. 6.3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