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F-5033/2022 vom 10. November 2022</w:t>
      </w:r>
    </w:p>
    <w:p>
      <w:r>
        <w:t>Bundesverwaltungsgericht, 2022-11-10, FR</w:t>
      </w:r>
    </w:p>
    <w:p>
      <w:r>
        <w:rPr>
          <w:b/>
        </w:rPr>
        <w:t xml:space="preserve">Quelle: </w:t>
      </w:r>
      <w:r>
        <w:t>https://mcp.opencaselaw.ch/entscheid/bvger_F-5033_2022</w:t>
      </w:r>
    </w:p>
    <w:p>
      <w:r>
        <w:t>FR: TAF F-5033/2022 du 10 novembre 2022</w:t>
      </w:r>
    </w:p>
    <w:p>
      <w:r>
        <w:t>IT: TAF F-5033/2022 del 10 novembre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(art. 6 LAsi et art. 37 LTAF).</w:t>
      </w:r>
    </w:p>
    <w:p>
      <w:r>
        <w:rPr>
          <w:b/>
        </w:rPr>
        <w:t>E. 1.3</w:t>
      </w:r>
    </w:p>
    <w:p>
      <w:r>
        <w:t>Le recourant a qualité pour recourir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(ATAF 2015/9 consid. 6.2 et 8.2.2 ainsi que 5.6 [non publié], 2014/26 consid. 5.6).</w:t>
      </w:r>
    </w:p>
    <w:p>
      <w:r>
        <w:rPr>
          <w:b/>
        </w:rPr>
        <w:t>E. 3</w:t>
      </w:r>
    </w:p>
    <w:p>
      <w:r>
        <w:t>Saisi d'un recours contre une décision de non-entrée en matière sur une demande d'asile, le Tribunal se limite à examiner le bien-fondé d'une telle décision (cf. ATAF 2017 VI/5 consid. 3.1).</w:t>
      </w:r>
    </w:p>
    <w:p>
      <w:r>
        <w:rPr>
          <w:b/>
        </w:rPr>
        <w:t>E. 4</w:t>
      </w:r>
    </w:p>
    <w:p>
      <w:r>
        <w:t>En l'occurrence, il s'agit de vérifier si c'est à bon droit que le SEM n'est pas entré en matière sur la demande d'asile du recourant et qu'il a prononcé son transfert vers la Bulgarie, l'Etat Dublin responsable.</w:t>
      </w:r>
    </w:p>
    <w:p>
      <w:r>
        <w:rPr>
          <w:b/>
        </w:rPr>
        <w:t>E. 5</w:t>
      </w:r>
    </w:p>
    <w:p>
      <w:r>
        <w:t>Tout d'abord, force est de constater que l'appréciation du SEM sur l'invraisemblance de la minorité alléguée par le recourant au moment du dépôt de sa demande d'asile en Suisse, le 13 juin 2022, et sur la compétence de la Bulgarie pour la reprise en charge de l'intéressé sur la base de l'art. 18 par. 1 let. d RD III n'a pas été contestée au stade du recours. Compte tenu des arguments développés dans le mémoire de recours, des pièces figurant au dossier et de l'analyse retenue sur ces points à l'appui de la décision attaquée, il n'y a pas lieu d'examiner plus avant ces questions de droit non invoquées (cf. ATAF 2009/57 consid. 1.2).</w:t>
      </w:r>
    </w:p>
    <w:p>
      <w:r>
        <w:rPr>
          <w:b/>
        </w:rPr>
        <w:t>E. 6.1</w:t>
      </w:r>
    </w:p>
    <w:p>
      <w:r>
        <w:t>Cela étant, il y a lieu d'examiner, en vertu de l'art. 3 par. 2 al. 2 du règlement Dublin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6.2</w:t>
      </w:r>
    </w:p>
    <w:p>
      <w:r>
        <w:t>De jurisprudence constante, tel n'est pas le cas, même si des carences du système d'asile bulgare sont constatées (cf. arrêt de référence F-7195/2018 du 11 février 2020 consid. 6, spécialement 6.6.7 ; voir aussi, parmi d'autres, arrêts du Tribunal E-3122/2022 du 22 septembre 2022 consid. 10.2 et réf. cit. et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demeure présumé (cf. ATAF 2017 VI/5 consid. 8.4 ; 2010/45 consid. 7.4 et 7.5 ; arrêt de référence du Tribunal F-7195/2018 précité consid. 6.6.1, 6.6.7 et 6.6.8).</w:t>
      </w:r>
    </w:p>
    <w:p>
      <w:r>
        <w:rPr>
          <w:b/>
        </w:rPr>
        <w:t>E. 6.3</w:t>
      </w:r>
    </w:p>
    <w:p>
      <w:r>
        <w:t>En l'espèce, le fait que le recourant invoque dans son recours, sans autre précision, le non-respect des droits humains par les autorités bulgares et les mauvais traitements infligés en Bulgarie aux étrangers comme lui ne saurait conduire le Tribunal à revenir sur sa jurisprudence précitée sur l'absence de défaillances systémiques dans ce pays. Quant à ses allégations vagues et non étayées - au cours de son audition par le SEM le 13 juin 2022 sur les violences subies de la part de la police bulgare et ses arguments dans son recours quant à la situation qui serait la sienne en cas de transfert, on ne saurait leur accorder de portée générale décisive sous l'angle de l'art. 3 par. 2 2ème phrase RD III. Partant, le SEM a considéré à juste titre que cette disposition règlementaire ne s'opposait pas à ce que la Bulgarie soit désignée comme l'Etat membre responsable de la procédure d'asile du recourant (sur la base de l'art. 18 par. 1 let. d RD III).</w:t>
      </w:r>
    </w:p>
    <w:p>
      <w:r>
        <w:rPr>
          <w:b/>
        </w:rPr>
        <w:t>E. 7.1</w:t>
      </w:r>
    </w:p>
    <w:p>
      <w:r>
        <w:t>Dans son recours, l'intéressé s'est également opposé à son transfert vers la Bulgarie en sollicitant implicitement l'application de la clause discrétionnaire prévue à l'art. 17 par. 1 RD III.</w:t>
      </w:r>
    </w:p>
    <w:p>
      <w:r>
        <w:rPr>
          <w:b/>
        </w:rPr>
        <w:t>E. 7.2.1</w:t>
      </w:r>
    </w:p>
    <w:p>
      <w:r>
        <w:t>En vertu de l'art. 17 par. 1 RD III (« clause de souveraineté »),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w:t>
      </w:r>
    </w:p>
    <w:p>
      <w:r>
        <w:rPr>
          <w:b/>
        </w:rPr>
        <w:t>E. 7.2.2</w:t>
      </w:r>
    </w:p>
    <w:p>
      <w:r>
        <w:t>Comme la jurisprudence l'a retenu (cf. ATAF 2017 VI/7 consid. 4.3 ; 2017 VI/5 consid. 8.5.2 ; 2015/9 consid. 8.2 [et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7.3</w:t>
      </w:r>
    </w:p>
    <w:p>
      <w:r>
        <w:t>En l'espèce, les allégations du recourant lors de son audition du 13 juin 2022 sur les mauvais traitements infligés par la police bulgare ne sont pas décisives. En effet, il est notoire qu'en Bulgarie, l'intéressé a pu, au vu des informations recueillies sur la base de la comparaison dactyloscopique effectuée par le SEM avec l'unité centrale du système européen « Eurodac » (cf. consid. A.d supra) entamer une procédure de demande de protection internationale le concernant. En outre, les autorités bulgares ont explicitement accepté la reprise en charge du requérant selon l'art. 18 al. 1 let. d RD IIII, ce qui démontre que sa demande d'asile a été examinée, puis rejetée. Rien ne permet toutefois d'admettre que les autorités de ce pays n'aient pas procédé à un examen en bonne et due forme de sa requête de protection internationale. Par ailleurs, il sied de relever qu'une décision définitive de refus d'asile et de renvoi vers le pays d'origine ne constitue pas, en soi, une violation du principe de non-refoulement (cf. arrêts du Tribunal D-1138/2020 du 3 mars 2020, p. 9 ; D-6111/2019 du 26 novembre 2019, p. 7 et réf. cit.). Au contraire, en retenant le principe de l'examen de la demande d'asile par un seul et même Etat membre (« one chance only »), le règlement Dublin III vise à lutter contre les demandes d'asile multiples (« asylum shopping »). De plus, la responsabilité d'un Etat pour l'examen d'une demande d'asile est définie selon les critères fixés dans le RD III, ledit règlement ne conférant pas au demandeur d'asile le droit de choisir l'Etat membre par lequel il souhaite que sa demande soit traitée ou offrant, à son avis, les meilleures conditions d'accueil comme Etat responsable de l'examen de sa demande d'asile (cf. ATAF 2010/45 consid. 8.3). La Bulgarie est un Etat de droit et il peut être attendu du recourant que, le cas échéant, il y entreprenne toute démarche utile et nécessaire auprès des autorités compétentes afin de faire valoir d'éventuels obstacles à son refoulement. A ce propos, comme l'a relevé le SEM dans la décision querellée, il est à relever qu'après le transfert en Bulgarie, le recourant aura la possibilité de demander la réouverture de sa demande d'asile. Il n'y a pas de raison de retenir que les autorités bulgares ne procéderaient pas à un nouvel examen de sa demande si celui-ci se justifie, ou qu'elles ne respecteraient pas leurs obligations internationales. S'agissant des allégations de l'intéressé lors de son audition du 13 juin 2022 sur les violences subies de la part de la police bulgare, elles sont vagues et non étayées par pièce, de sorte qu'elles ne sont pas vraisemblables, comme l'a relevé à juste titre le SEM. L'argument présenté dans le recours selon lequel il courrait un risque réel de traitements inhumains ou dégradants en Bulgarie en raison des conditions d'accueil déplorables aggravées par la situation de surcharge du système d'accueil des requérants d'asile à la suite du conflit se déroulant en Ukraine n'est pas suffisamment individualisé, précis et concret pour aboutir à une autre conclusion. L'intéressé n'a donc pas établi à satisfaction de droit que ses conditions de vie en Bulgarie suite à son transfert revêtiraient un degré de pénibilité tel qu'elles emporteraient violation par la Suisse de ses obligations tirées du droit international public. Il convient de rappeler à ce stade que l'art. 3 CEDH ne saurait être interprété comme obligeant les Etats contractants à garantir un droit au logement à toute personne relevant de leur juridiction ; de même, cette disposition ne saurait non plus fonder un devoir général de fournir aux réfugiés - et a fortiori aux requérants déboutés - une assistance financière pour qu'ils puissent maintenir un certain niveau de vie. Par ailleurs, l'intéressé n'a pas fait valoir, dans son recours, qu'il souffrait actuellement de problèmes de santé particuliers. En outre, il ne ressort pas du dossier que le recourant ait fait l'objet d'un suivi médical particulier en lien avec des pathologies physique ou psychique d'une gravité particulière de nature à faire obstacle au transfert en vertu de l'art. 3 CEDH (cf. arrêt Paposhvili c. Belgique du 13 décembre 2016, requête no 41738/10). Il ne se trouve donc pas à raison de son état de santé dans une situation de vulnérabilité particulière qui commanderait un examen plus poussé de sa situation personnelle en cas de transfert. Enfin, rien ne permet d'admettre que le recourant ne soit pas en mesure de voyager.</w:t>
      </w:r>
    </w:p>
    <w:p>
      <w:r>
        <w:rPr>
          <w:b/>
        </w:rPr>
        <w:t>E. 7.4</w:t>
      </w:r>
    </w:p>
    <w:p>
      <w:r>
        <w:t>Au vu de ce qui précède, le transfert du recourant n'est pas contraire aux obligations de la Suisse découlant des art. 33 Conv. réfugiés, 3 CEDH et 3 Conv. torture.</w:t>
      </w:r>
    </w:p>
    <w:p>
      <w:r>
        <w:rPr>
          <w:b/>
        </w:rPr>
        <w:t>E. 7.5</w:t>
      </w:r>
    </w:p>
    <w:p>
      <w:r>
        <w:t>Enfin, le SEM n'a commis ni excès ni abus de son large pouvoir d'appréciation en refusant d'admettre l'existence de raisons humanitaires au sens de l'art. 17 par. 1 RD III en combinaison avec l'art. 29a al. 3 OA 1 (cf. ATAF 2015/9 consid. 8).</w:t>
      </w:r>
    </w:p>
    <w:p>
      <w:r>
        <w:rPr>
          <w:b/>
        </w:rPr>
        <w:t>E. 7.6</w:t>
      </w:r>
    </w:p>
    <w:p>
      <w:r>
        <w:t>En conclusion,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Vu ce qui précède, c'est à bon droit que le SEM n'est pas entré en matière sur la demande d'asile, en application de l'art. 31a al. 1 let. b LAsi, et qu'il a prononcé le transfert du recourant de Suisse vers la Bulgarie, en application de l'art. 44 LAsi, aucune exception à la règle générale du renvoi n'étant réalisée (cf. art. 32 OA 1). Par conséquent, le recours doit être rejeté. S'avérant manifestement infondé, il est rejeté dans une procédure à juge unique, avec l'approbation d'un second juge (cf. art. 111 let. e LAsi). Il est dès lors renoncé à un échange d'écritures (cf. art. 111a al. 1). Dans la mesure où il est statué sur le fond par le présent arrêt, les demandes tendant à l'octroi de l'effet suspensif et à la dispense du versement d'une avance de frais sont sans objet, les mesures superprovisionnelles prononcées le 4 novembre 2022 devenant caduques par le présent prononcé.</w:t>
      </w:r>
    </w:p>
    <w:p>
      <w:r>
        <w:rPr>
          <w:b/>
        </w:rPr>
        <w:t>E. 9</w:t>
      </w:r>
    </w:p>
    <w:p>
      <w:r>
        <w:t>Les conclusions du recours étant d'emblée vouées à l'échec, la requête d'assistance judiciaire totale est rejetée (art. 102m al. 1 LAsi en lien avec l'art. 65 al. 1 PA). Compte tenu de l'issue de la cause, il y a donc lieu de mettre les frais de procédure, d'un montant de 750 francs, à la charge du recourant, conformément aux art. 63 al. 1 PA ainsi que 2 et 3 let. a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