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F-5026/2025 vom 14. Juli 2025</w:t>
      </w:r>
    </w:p>
    <w:p>
      <w:r>
        <w:t>Bundesverwaltungsgericht, 2025-07-14, DE</w:t>
      </w:r>
    </w:p>
    <w:p>
      <w:r>
        <w:rPr>
          <w:b/>
        </w:rPr>
        <w:t xml:space="preserve">Quelle: </w:t>
      </w:r>
      <w:r>
        <w:t>https://mcp.opencaselaw.ch/entscheid/bvger_F-5026_2025</w:t>
      </w:r>
    </w:p>
    <w:p>
      <w:r>
        <w:t>FR: TAF F-5026/2025 du 14 juillet 2025</w:t>
      </w:r>
    </w:p>
    <w:p>
      <w:r>
        <w:t>IT: TAF F-5026/2025 del 14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wird jeder Asylantrag von einem einzigen Mitgliedstaat geprüft, der nach den Kriterien des Kapitels III als zuständiger Staat bestimmt wird. Gemäss Eurodac-Treffer hat der Beschwerdeführer in Kroatien um Asyl ersucht und die kroatischen Behörden haben seiner Aufnahme gestützt auf Art. 20 Abs. 5 Dublin-III-VO vorbehaltlos zugestimmt. Die grundsätzliche Zuständigkeit Kroatiens ist gegeben.</w:t>
      </w:r>
    </w:p>
    <w:p>
      <w:r>
        <w:rPr>
          <w:b/>
        </w:rPr>
        <w:t>E. 2.2</w:t>
      </w:r>
    </w:p>
    <w:p>
      <w:r>
        <w:t>Die Dublin-III-VO räumt den Schutzsuchenden kein Recht ein, den ihren Antrag prüfenden Staat selber auszuwählen (vgl. BVGE 2010/45 E. 8.3).</w:t>
      </w:r>
    </w:p>
    <w:p>
      <w:r>
        <w:rPr>
          <w:b/>
        </w:rPr>
        <w:t>E. 3.1</w:t>
      </w:r>
    </w:p>
    <w:p>
      <w:r>
        <w:t>Die Vorinstanz hat korrekt erwogen, das kroatische Asylsystem weise rechtsprechungsgemäss keine systemischen Mängel auf (vgl. Urteil des BVGer E-1488/2020 vom 22. März 2023 E. 9.5 [als Referenzurteil publiziert]; statt vieler zuletzt Urteil des BVGer F-4684/2025 vom 2. Juli 2025 E. 4.4), aufgrund derer die Zuständigkeit gemäss Art. 3 Abs. 2 Dublin-III-VO auf die Schweiz überginge, und es seien keine völkerrechtlichen Vollzugshindernisse ersichtlich, welche die Schweiz zu einem Selbsteintritt nach Art. 17 Abs. 1 Dublin-III-VO verpflichten würden. Dabei hat sie sich insbesondere auch mit den Vorbringen des Beschwerdeführers betreffend seine Erlebnisse in Kroatien auseinandergesetzt. Es kann auf die ausführlichen Erwägungen in der vorinstanzlichen Verfügung verwiesen werden.</w:t>
      </w:r>
    </w:p>
    <w:p>
      <w:r>
        <w:rPr>
          <w:b/>
        </w:rPr>
        <w:t>E. 3.2</w:t>
      </w:r>
    </w:p>
    <w:p>
      <w:r>
        <w:t>Die auf Beschwerdeebene vorgebrachte allgemeine Kritik am kroatischen Asylsystem mit Verweis auf diverse Berichte vermag an der zutreffenden Einschätzung der Vorinstanz nichts zu ändern. Persönliche Gründe, die gegen eine Überstellung sprechen, bringt der Beschwerdeführer nicht vor. Die Einholung individueller Garantien erweist sich vorliegend nicht als angezeigt und der nicht begründete Eventualantrag auf Rückweisung der Sache an die Vorinstanz ist abzuweisen.</w:t>
      </w:r>
    </w:p>
    <w:p>
      <w:r>
        <w:rPr>
          <w:b/>
        </w:rPr>
        <w:t>E. 4</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nicht eingetreten und hat in Anwendung von Art. 44 AsylG die Wegweisung nach Kroatien angeordnet. Die Beschwerde ist abzuweisen.</w:t>
      </w:r>
    </w:p>
    <w:p>
      <w:r>
        <w:rPr>
          <w:b/>
        </w:rPr>
        <w:t>E. 5</w:t>
      </w:r>
    </w:p>
    <w:p>
      <w:r>
        <w:t>Der am 9. Juli 2025 verfügte einstweilige Vollzugsstopp fällt mit dem vorliegenden Urteil dahin.</w:t>
      </w:r>
    </w:p>
    <w:p>
      <w:r>
        <w:rPr>
          <w:b/>
        </w:rPr>
        <w:t>E. 6</w:t>
      </w:r>
    </w:p>
    <w:p>
      <w:r>
        <w:t>Das Gesuch um Gewährung der unentgeltlichen Prozessführung ist abzuweisen, da die Beschwerde gemäss den vorstehenden Erwägungen als aussichtslos zu bezeichnen ist. Unbesehen der finanziellen Verhältnisse des Beschwerdeführers fehlt es demnach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