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F-5025/2024 vom 20. August 2024</w:t>
      </w:r>
    </w:p>
    <w:p>
      <w:r>
        <w:t>Bundesverwaltungsgericht, 2024-08-20, DE</w:t>
      </w:r>
    </w:p>
    <w:p>
      <w:r>
        <w:rPr>
          <w:b/>
        </w:rPr>
        <w:t xml:space="preserve">Quelle: </w:t>
      </w:r>
      <w:r>
        <w:t>https://mcp.opencaselaw.ch/entscheid/bvger_F-5025_2024</w:t>
      </w:r>
    </w:p>
    <w:p>
      <w:r>
        <w:t>FR: TAF F-5025/2024 du 20 août 2024</w:t>
      </w:r>
    </w:p>
    <w:p>
      <w:r>
        <w:t>IT: TAF F-5025/2024 del 20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beantragt im Sinne eines Eventualbegehrens die Rückweisung der Sache an die Vorinstanz mit der Begründung, diese habe den Untersuchungsgrundsatz (Art. 12 VwVG) verletzt. Er habe von Anfang an seine psychischen und körperlichen Beschwerden offengelegt und sich um einen Arzttermin bemüht. Zur Klärung des medizinischen Sachverhalts über die durch Folter verursachten körperlichen und psychischen Probleme sei er weder zu einem Allgemeinarzt noch zu einem Psychiater geschickt worden.</w:t>
      </w:r>
    </w:p>
    <w:p>
      <w:r>
        <w:rPr>
          <w:b/>
        </w:rPr>
        <w:t>E. 3.2</w:t>
      </w:r>
    </w:p>
    <w:p>
      <w:r>
        <w:t>Aus dem Verlaufsblatt der medizinischen Betreuung geht hervor, dass der Beschwerdeführer verschiedentlich bei der medizinischen Betreuung vorstellig wurde. So äusserte er unter anderem Beschwerden im Nacken, kam wegen einer Schürfung vorbei oder gab an, unter Zahnproblemen zu leiden. Insbesondere machte er am 10. Juli 2024 geltend, er habe Schmerzen im Bereich der Rippen, da er in Kroatien geschlagen worden sei. Ausserdem habe er 2020 eine Lungenembolie gehabt und möchte diesbezüglich eine ärztliche Kontrolle. Auch am 23. Juli 2024 verlangte der Beschwerdeführer im Zusammenhang mit schmerzenden Rippen, Schlafproblemen und Atembeschwerden eine ärztliche Untersuchung. Die medizinische Betreuung besprach die gesundheitlichen Probleme mit dem zuständigen Hausarzt, welcher eine spezialärztliche Untersuchung nicht für nötig erachtete. Insofern ist auch nicht vom Bestehen eines akuten Behandlungsbedarfs auszugehen. Demnach hat die Vorinstanz den rechtserheblichen medizinischen Sachverhalt korrekt festgestellt.</w:t>
      </w:r>
    </w:p>
    <w:p>
      <w:r>
        <w:rPr>
          <w:b/>
        </w:rPr>
        <w:t>E. 3.3</w:t>
      </w:r>
    </w:p>
    <w:p>
      <w:r>
        <w:t>Die formelle Rüge erweist sich nach dem Gesagten als unbegründet, weshalb keine Veranlassung besteht, die angefochtene Verfügung zu kassieren.</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 charge" (Aufnahme) als auch in "take back" (Wiederaufnahme)-Verfahren zulässig. Die in der Beschwerde genannten Berichte und Urteile, die teilweise zeitlich nach dem Referenzurteil datieren, vermögen daran nichts zu ändern.</w:t>
      </w:r>
    </w:p>
    <w:p>
      <w:r>
        <w:rPr>
          <w:b/>
        </w:rPr>
        <w:t>E. 6.1</w:t>
      </w:r>
    </w:p>
    <w:p>
      <w:r>
        <w:t>Der Beschwerdeführer bringt vor, zwei Brüder lebten in der Schweiz. Aufgrund seiner besonderen Verletzlichkeit wegen der erlebten Misshandlungen in Kroatien sei er auf die Unterstützung seiner Familie angewiesen. Er macht dabei ein Abhängigkeitsverhältnis im Sinne von Art. 16 Abs. 1 Dublin-III-VO und eine daraus abzuleitende Zuständigkeit der Schweiz geltend.</w:t>
      </w:r>
    </w:p>
    <w:p>
      <w:r>
        <w:rPr>
          <w:b/>
        </w:rPr>
        <w:t>E. 6.2</w:t>
      </w:r>
    </w:p>
    <w:p>
      <w:r>
        <w:t>Art. 16 Abs. 1 Dublin-III-VO setzt voraus, dass zwischen dem Antragsteller und seinen Kindern, Geschwistern oder Elternteilen ein Abhängigkeitsverhältnis wegen Schwangerschaft, eines neugeborenen Kindes, schwerer Krankheit, ernsthafter Behinderung oder hohen Alters besteht. Das die Zuständigkeit begründende Abhängigkeitsverhältnis bleibt dabei auf Ausnahmesituationen besonderer Hilfsbedürftigkeit beschränkt (Urteil des BVGer F-5442/2023 vom 19. Oktober 2023 E. 7.2; vgl. auch Filzwieser/Sprung, Dublin III-Verordnung, 2014, K3 zu Art. 16). Am Dublin-Gespräch erwähnte der Beschwerdeführer auf Nachfrage seiner Rechtsvertretung lediglich, er würde gerne mit seinen zwei Brüdern zusammenleben. Auch in der Beschwerde hat der Beschwerdeführer ein Abhängigkeitsverhältnis zu seinen Brüdern im Sinne von Art. 16 Abs. 1 Dublin-III-VO nicht in rechtsgenüglicher Weise dargetan.</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7.2</w:t>
      </w:r>
    </w:p>
    <w:p>
      <w:r>
        <w:t>Der Beschwerdeführer gab im Dublin-Gespräch an, er sei in Kroatien von Polizisten misshandelt worden. Unter anderem habe er Schläge in die linke Rippengegend erlitten, was eine Verletzung zur Folge gehabt habe. Es sei ihm damit gedroht worden, dass er in die Türkei abgeschoben werde, falls er seine Fingerabdrücke nicht abgebe. Weiter sei er 48 Stunden inhaftiert worden und habe dabei kein Essen erhalten.</w:t>
      </w:r>
    </w:p>
    <w:p>
      <w:r>
        <w:rPr>
          <w:b/>
        </w:rPr>
        <w:t>E. 7.3</w:t>
      </w:r>
    </w:p>
    <w:p>
      <w:r>
        <w:t>Die geltend gemachte Polizeigewalt wird weder belegt noch substantiiert dargelegt. Es kann angenommen werden, dass Kroatien seinen völker- und gemeinschaftsrechtlichen Verpflichtungen gegenüber Personen in der Situation des Beschwerdeführers nachkommt. Diese Vermutung vermag der Beschwerdeführer durch seine Ausführungen hinsichtlich der behaupteten Gewalterfahrungen seitens kroatischer Sicherheitsbeamter nicht umzustossen. Im Falle einer Rücküberstellung würde er nämlich nicht als Neuankömmling behandelt, sondern direkt in die dortigen Asylstrukturen aufgenommen. Bei einer allfälligen vorübergehenden Einschränkung der ihm zustehenden Aufnahmebedingungen könnte er sich im Übrigen nötigenfalls an die kroatischen Behörden wenden und seine Rechte auf dem Rechtsweg einfordern. Dies gilt auch in Bezug auf ein allfälliges Fehlverhalten der kroatischen Polizei. Des Weiteren steht ihm die Möglichkeit offen, die vor Ort tätigen karitativen Organisationen zu kontaktieren.</w:t>
      </w:r>
    </w:p>
    <w:p>
      <w:r>
        <w:rPr>
          <w:b/>
        </w:rPr>
        <w:t>E. 7.4</w:t>
      </w:r>
    </w:p>
    <w:p>
      <w:r>
        <w:t>Was den medizinischen Sachverhalt anbelangt, so kann eine zwangsweise Rückweisung von Personen mit gesundheitlichen Problemen nur ausnahmsweise einen Verstoss gegen Art. 3 EMRK darstellen (vgl. BVGE 2011/9 E. 7 und Urteil des EGMR Paposhvili gegen Belgien vom 13. Dezember 2016, Grosse Kammer, Nr. 41738/10, §§ 180-193, bestätigt durch Urteil des EGMR Savran gegen Dänemark vom 7. Dezember 2021, Grosse Kammer, Nr. 57467/15, §§ 121 ff.).</w:t>
      </w:r>
    </w:p>
    <w:p>
      <w:r>
        <w:rPr>
          <w:b/>
        </w:rPr>
        <w:t>E. 7.5</w:t>
      </w:r>
    </w:p>
    <w:p>
      <w:r>
        <w:t>Es besteht kein Grund zur Annahme, die Gesundheit des Beschwerdeführers würde bei einer Überstellung nach Kroatien ernsthaft gefährdet. Die geltend gemachten Beschwerden dürften - sofern nötig - einer Behandlung in Kroatien zugänglich sein. Sollte der Beschwerdeführer nach der Überstellung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(vgl. Art. 19 Abs. 1 der Richtlinie des Europäischen Parlaments und des Rates 2013/33/EU vom 26. Juni 2013 zur Festlegung von Normen für die Aufnahme von Personen, die internationalen Schutz beantragen [Aufnahmerichtlinie]). Folglich droht keine Verletzung von Art. 3 EMRK. Schliesslich hat die Vorinstanz ihr Ermessen nicht unterschritten, indem sie humanitäre Gründe im Sinne von Art. 29a Abs. 3 AsylV 1 verneinte.</w:t>
      </w:r>
    </w:p>
    <w:p>
      <w:r>
        <w:rPr>
          <w:b/>
        </w:rPr>
        <w:t>E. 7.6</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8</w:t>
      </w:r>
    </w:p>
    <w:p>
      <w:r>
        <w:t>Es besteht kein Anlass, die Vorinstanz anzuweisen, bei den kroatischen Behörden Zusicherungen hinsichtlich der medizinischen Versorgung sowie des Zugangs zu adäquater Unterbringung einzuholen (vgl. Referenzurteil E-1488/2020 E. 12). Das entsprechende Subeventualbegehren ist ebenfalls abzuweisen.</w:t>
      </w:r>
    </w:p>
    <w:p>
      <w:r>
        <w:rPr>
          <w:b/>
        </w:rPr>
        <w:t>E. 9</w:t>
      </w:r>
    </w:p>
    <w:p>
      <w:r>
        <w:t>Die Vorinstanz ist demnach zu Recht auf das Asylgesuch des Beschwerde-führers nicht eingetreten und hat die Wegweisung nach Kroatien angeordnet.</w:t>
      </w:r>
    </w:p>
    <w:p>
      <w:r>
        <w:rPr>
          <w:b/>
        </w:rPr>
        <w:t>E. 10</w:t>
      </w:r>
    </w:p>
    <w:p>
      <w:r>
        <w:t>Nach dem Gesagten ist die Beschwerde abzuweisen. Mit dem vorliegenden Urteil fällt der am 13. August 2024 angeordnete Vollzugsstopp dahin. Das Gesuch um Erteilung der aufschiebenden Wirkung ist gegenstandslos geworden.</w:t>
      </w:r>
    </w:p>
    <w:p>
      <w:r>
        <w:rPr>
          <w:b/>
        </w:rPr>
        <w:t>E. 11</w:t>
      </w:r>
    </w:p>
    <w:p>
      <w:r>
        <w:t>Die Begehren erweisen sich als aussichtslos, weshalb das Gesuch um unentgeltliche Prozessführung (Art. 65 Abs. 1 VwVG) abzuweisen ist.</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13</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